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0" w:type="dxa"/>
        <w:jc w:val="center"/>
        <w:tblCellSpacing w:w="20" w:type="dxa"/>
        <w:tblBorders>
          <w:top w:val="outset" w:sz="8" w:space="0" w:color="auto"/>
          <w:left w:val="outset" w:sz="8" w:space="0" w:color="auto"/>
          <w:bottom w:val="outset" w:sz="8" w:space="0" w:color="auto"/>
          <w:right w:val="outset" w:sz="8" w:space="0" w:color="auto"/>
          <w:insideH w:val="none" w:sz="0" w:space="0" w:color="auto"/>
          <w:insideV w:val="none" w:sz="0" w:space="0" w:color="auto"/>
        </w:tblBorders>
        <w:tblLook w:val="04A0" w:firstRow="1" w:lastRow="0" w:firstColumn="1" w:lastColumn="0" w:noHBand="0" w:noVBand="1"/>
      </w:tblPr>
      <w:tblGrid>
        <w:gridCol w:w="2143"/>
        <w:gridCol w:w="7917"/>
      </w:tblGrid>
      <w:tr w:rsidR="00E36D0A" w:rsidRPr="00E36D0A" w:rsidTr="00291946">
        <w:trPr>
          <w:tblCellSpacing w:w="20" w:type="dxa"/>
          <w:jc w:val="center"/>
        </w:trPr>
        <w:tc>
          <w:tcPr>
            <w:tcW w:w="2014" w:type="dxa"/>
            <w:shd w:val="clear" w:color="auto" w:fill="auto"/>
            <w:vAlign w:val="center"/>
          </w:tcPr>
          <w:p w:rsidR="00F246F2" w:rsidRPr="00E36D0A" w:rsidRDefault="00602D23" w:rsidP="00291946">
            <w:pPr>
              <w:ind w:left="106"/>
              <w:jc w:val="both"/>
              <w:rPr>
                <w:color w:val="215868"/>
                <w14:textFill>
                  <w14:solidFill>
                    <w14:srgbClr w14:val="215868">
                      <w14:alpha w14:val="75000"/>
                    </w14:srgbClr>
                  </w14:solidFill>
                </w14:textFill>
              </w:rPr>
            </w:pPr>
            <w:r>
              <w:rPr>
                <w:noProof/>
              </w:rPr>
              <w:drawing>
                <wp:inline distT="0" distB="0" distL="0" distR="0" wp14:anchorId="1BD6C4F3" wp14:editId="194E6A42">
                  <wp:extent cx="1097280" cy="1045845"/>
                  <wp:effectExtent l="0" t="0" r="7620" b="1905"/>
                  <wp:docPr id="16" name="Image 10" descr="E:\Profil\Mes documents\1 ANNE\SMART CLIENTS\3 Actifs\Formations Repère\6_CONTENUS\LOGO\Logo_HD_m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0" descr="E:\Profil\Mes documents\1 ANNE\SMART CLIENTS\3 Actifs\Formations Repère\6_CONTENUS\LOGO\Logo_HD_mains.png"/>
                          <pic:cNvPicPr>
                            <a:picLocks noChangeAspect="1" noChangeArrowheads="1"/>
                          </pic:cNvPicPr>
                        </pic:nvPicPr>
                        <pic:blipFill>
                          <a:blip r:embed="rId7"/>
                          <a:stretch>
                            <a:fillRect/>
                          </a:stretch>
                        </pic:blipFill>
                        <pic:spPr bwMode="auto">
                          <a:xfrm>
                            <a:off x="0" y="0"/>
                            <a:ext cx="1097280" cy="1045845"/>
                          </a:xfrm>
                          <a:prstGeom prst="rect">
                            <a:avLst/>
                          </a:prstGeom>
                        </pic:spPr>
                      </pic:pic>
                    </a:graphicData>
                  </a:graphic>
                </wp:inline>
              </w:drawing>
            </w:r>
          </w:p>
        </w:tc>
        <w:tc>
          <w:tcPr>
            <w:tcW w:w="7926" w:type="dxa"/>
            <w:shd w:val="clear" w:color="auto" w:fill="auto"/>
            <w:vAlign w:val="center"/>
          </w:tcPr>
          <w:p w:rsidR="00F246F2" w:rsidRPr="00D102CD" w:rsidRDefault="00D102CD" w:rsidP="00D102CD">
            <w:pPr>
              <w:spacing w:line="276" w:lineRule="auto"/>
              <w:jc w:val="center"/>
              <w:rPr>
                <w:rFonts w:eastAsia="Arial" w:cstheme="minorHAnsi"/>
                <w:b/>
                <w:color w:val="215868"/>
                <w:sz w:val="36"/>
                <w:szCs w:val="36"/>
                <w14:shadow w14:blurRad="50800" w14:dist="38100" w14:dir="2700000" w14:sx="100000" w14:sy="100000" w14:kx="0" w14:ky="0" w14:algn="tl">
                  <w14:srgbClr w14:val="000000">
                    <w14:alpha w14:val="60000"/>
                  </w14:srgbClr>
                </w14:shadow>
              </w:rPr>
            </w:pPr>
            <w:r>
              <w:rPr>
                <w:rFonts w:eastAsia="Arial" w:cstheme="minorHAnsi"/>
                <w:b/>
                <w:color w:val="215868"/>
                <w:sz w:val="36"/>
                <w:szCs w:val="36"/>
                <w14:shadow w14:blurRad="50800" w14:dist="38100" w14:dir="2700000" w14:sx="100000" w14:sy="100000" w14:kx="0" w14:ky="0" w14:algn="tl">
                  <w14:srgbClr w14:val="000000">
                    <w14:alpha w14:val="60000"/>
                  </w14:srgbClr>
                </w14:shadow>
              </w:rPr>
              <w:t>Les soins palliatifs chez la personne atteinte de démence</w:t>
            </w:r>
          </w:p>
        </w:tc>
      </w:tr>
    </w:tbl>
    <w:p w:rsidR="00F246F2" w:rsidRDefault="00F246F2" w:rsidP="00C003E9">
      <w:pPr>
        <w:jc w:val="both"/>
      </w:pPr>
    </w:p>
    <w:p w:rsidR="00707DC8" w:rsidRPr="006A282B" w:rsidRDefault="006A282B" w:rsidP="006A282B">
      <w:pPr>
        <w:jc w:val="center"/>
        <w:rPr>
          <w:rFonts w:cstheme="minorHAnsi"/>
        </w:rPr>
      </w:pPr>
      <w:r w:rsidRPr="00B31B72">
        <w:rPr>
          <w:rFonts w:cstheme="minorHAnsi"/>
        </w:rPr>
        <w:t>La démence est une pathologie mortelle et beaucoup méconnaissent les symptômes d’entrée dans la phase terminale de la maladie. Il en découle souvent des prises en charges inadaptées à la personne démente en fin de vie et des relations tendues entre personnel et familles des résidents. Mieux connaître les particularités des maladies de type Alzheimer dans les soins palliatifs permet d’anticiper des situations délicates et de garantir plus de bien-être pour le résident et ses proches et plus de sérénité pour les équipes de soin.</w:t>
      </w:r>
    </w:p>
    <w:p w:rsidR="00605ABD" w:rsidRPr="004C28AE" w:rsidRDefault="00605ABD" w:rsidP="003F0B42">
      <w:pPr>
        <w:spacing w:after="0" w:line="276" w:lineRule="auto"/>
        <w:rPr>
          <w:rFonts w:eastAsia="Arial" w:cstheme="minorHAnsi"/>
          <w:b/>
          <w:color w:val="215868"/>
          <w:sz w:val="28"/>
          <w:szCs w:val="28"/>
          <w14:shadow w14:blurRad="50800" w14:dist="38100" w14:dir="2700000" w14:sx="100000" w14:sy="100000" w14:kx="0" w14:ky="0" w14:algn="tl">
            <w14:srgbClr w14:val="000000">
              <w14:alpha w14:val="60000"/>
            </w14:srgbClr>
          </w14:shadow>
        </w:rPr>
      </w:pPr>
      <w:r w:rsidRPr="004C28AE">
        <w:rPr>
          <w:rFonts w:eastAsia="Arial" w:cstheme="minorHAnsi"/>
          <w:b/>
          <w:color w:val="215868"/>
          <w:sz w:val="28"/>
          <w:szCs w:val="28"/>
          <w14:shadow w14:blurRad="50800" w14:dist="38100" w14:dir="2700000" w14:sx="100000" w14:sy="100000" w14:kx="0" w14:ky="0" w14:algn="tl">
            <w14:srgbClr w14:val="000000">
              <w14:alpha w14:val="60000"/>
            </w14:srgbClr>
          </w14:shadow>
        </w:rPr>
        <w:t>Public cible</w:t>
      </w:r>
    </w:p>
    <w:p w:rsidR="006A282B" w:rsidRPr="00B31B72" w:rsidRDefault="006A282B" w:rsidP="006A282B">
      <w:pPr>
        <w:rPr>
          <w:rFonts w:cstheme="minorHAnsi"/>
        </w:rPr>
      </w:pPr>
      <w:r w:rsidRPr="00B31B72">
        <w:rPr>
          <w:rFonts w:cstheme="minorHAnsi"/>
        </w:rPr>
        <w:t>Pré requis : sensibilisation à la prise en charge de la démence et/ou sensibilisation aux soins palliatifs</w:t>
      </w:r>
      <w:r w:rsidR="00970789">
        <w:rPr>
          <w:rFonts w:cstheme="minorHAnsi"/>
        </w:rPr>
        <w:t>.</w:t>
      </w:r>
      <w:bookmarkStart w:id="0" w:name="_GoBack"/>
      <w:bookmarkEnd w:id="0"/>
    </w:p>
    <w:p w:rsidR="00771386" w:rsidRPr="006A282B" w:rsidRDefault="006A282B" w:rsidP="006A282B">
      <w:pPr>
        <w:rPr>
          <w:rFonts w:cstheme="minorHAnsi"/>
        </w:rPr>
      </w:pPr>
      <w:r w:rsidRPr="00B31B72">
        <w:rPr>
          <w:rFonts w:cstheme="minorHAnsi"/>
        </w:rPr>
        <w:t>Personnel travaillant en institution de soins : infirmiers, aides-soignants, paramédicaux, personnel administratif</w:t>
      </w:r>
      <w:r>
        <w:rPr>
          <w:rFonts w:cstheme="minorHAnsi"/>
        </w:rPr>
        <w:t>, …</w:t>
      </w:r>
    </w:p>
    <w:p w:rsidR="00B511B9" w:rsidRPr="004C28AE" w:rsidRDefault="00B511B9" w:rsidP="003F0B42">
      <w:pPr>
        <w:spacing w:after="0" w:line="276" w:lineRule="auto"/>
        <w:rPr>
          <w:rFonts w:eastAsia="Arial" w:cstheme="minorHAnsi"/>
          <w:b/>
          <w:color w:val="215868"/>
          <w:sz w:val="28"/>
          <w:szCs w:val="28"/>
          <w14:shadow w14:blurRad="50800" w14:dist="38100" w14:dir="2700000" w14:sx="100000" w14:sy="100000" w14:kx="0" w14:ky="0" w14:algn="tl">
            <w14:srgbClr w14:val="000000">
              <w14:alpha w14:val="60000"/>
            </w14:srgbClr>
          </w14:shadow>
        </w:rPr>
      </w:pPr>
      <w:r w:rsidRPr="004C28AE">
        <w:rPr>
          <w:rFonts w:eastAsia="Arial" w:cstheme="minorHAnsi"/>
          <w:b/>
          <w:color w:val="215868"/>
          <w:sz w:val="28"/>
          <w:szCs w:val="28"/>
          <w14:shadow w14:blurRad="50800" w14:dist="38100" w14:dir="2700000" w14:sx="100000" w14:sy="100000" w14:kx="0" w14:ky="0" w14:algn="tl">
            <w14:srgbClr w14:val="000000">
              <w14:alpha w14:val="60000"/>
            </w14:srgbClr>
          </w14:shadow>
        </w:rPr>
        <w:t>Objectifs</w:t>
      </w:r>
    </w:p>
    <w:p w:rsidR="006A282B" w:rsidRPr="006A282B" w:rsidRDefault="006A282B" w:rsidP="006A282B">
      <w:pPr>
        <w:pStyle w:val="Paragraphedeliste"/>
        <w:numPr>
          <w:ilvl w:val="0"/>
          <w:numId w:val="9"/>
        </w:numPr>
        <w:rPr>
          <w:rFonts w:cstheme="minorHAnsi"/>
        </w:rPr>
      </w:pPr>
      <w:r w:rsidRPr="006A282B">
        <w:rPr>
          <w:rFonts w:cstheme="minorHAnsi"/>
        </w:rPr>
        <w:t>Identifier les indices de fin de vie chez une personne atteinte de démence pour envisager des soins palliatifs adaptés</w:t>
      </w:r>
    </w:p>
    <w:p w:rsidR="006A282B" w:rsidRPr="006A282B" w:rsidRDefault="006A282B" w:rsidP="006A282B">
      <w:pPr>
        <w:pStyle w:val="Paragraphedeliste"/>
        <w:numPr>
          <w:ilvl w:val="0"/>
          <w:numId w:val="9"/>
        </w:numPr>
        <w:rPr>
          <w:rFonts w:cstheme="minorHAnsi"/>
        </w:rPr>
      </w:pPr>
      <w:r w:rsidRPr="006A282B">
        <w:rPr>
          <w:rFonts w:cstheme="minorHAnsi"/>
        </w:rPr>
        <w:t>Réduire les conflits avec les familles autours de la prise en charge de la personne démente en fin de vie</w:t>
      </w:r>
    </w:p>
    <w:p w:rsidR="00771386" w:rsidRPr="006A282B" w:rsidRDefault="006A282B" w:rsidP="006A282B">
      <w:pPr>
        <w:pStyle w:val="Paragraphedeliste"/>
        <w:numPr>
          <w:ilvl w:val="0"/>
          <w:numId w:val="9"/>
        </w:numPr>
        <w:rPr>
          <w:rFonts w:cstheme="minorHAnsi"/>
        </w:rPr>
      </w:pPr>
      <w:r w:rsidRPr="006A282B">
        <w:rPr>
          <w:rFonts w:cstheme="minorHAnsi"/>
        </w:rPr>
        <w:t>Connaitre les aspects légaux</w:t>
      </w:r>
    </w:p>
    <w:p w:rsidR="00242C3A" w:rsidRDefault="001241EF" w:rsidP="00707DC8">
      <w:pPr>
        <w:spacing w:after="0" w:line="276" w:lineRule="auto"/>
        <w:rPr>
          <w:rFonts w:eastAsia="Arial" w:cstheme="minorHAnsi"/>
          <w:b/>
          <w:color w:val="215868"/>
          <w:sz w:val="28"/>
          <w:szCs w:val="28"/>
          <w14:shadow w14:blurRad="50800" w14:dist="38100" w14:dir="2700000" w14:sx="100000" w14:sy="100000" w14:kx="0" w14:ky="0" w14:algn="tl">
            <w14:srgbClr w14:val="000000">
              <w14:alpha w14:val="60000"/>
            </w14:srgbClr>
          </w14:shadow>
        </w:rPr>
      </w:pPr>
      <w:r>
        <w:rPr>
          <w:rFonts w:eastAsia="Arial" w:cstheme="minorHAnsi"/>
          <w:b/>
          <w:color w:val="215868"/>
          <w:sz w:val="28"/>
          <w:szCs w:val="28"/>
          <w14:shadow w14:blurRad="50800" w14:dist="38100" w14:dir="2700000" w14:sx="100000" w14:sy="100000" w14:kx="0" w14:ky="0" w14:algn="tl">
            <w14:srgbClr w14:val="000000">
              <w14:alpha w14:val="60000"/>
            </w14:srgbClr>
          </w14:shadow>
        </w:rPr>
        <w:t>Contenu</w:t>
      </w:r>
    </w:p>
    <w:p w:rsidR="006A282B" w:rsidRPr="00B31B72" w:rsidRDefault="006A282B" w:rsidP="006A282B">
      <w:pPr>
        <w:rPr>
          <w:rFonts w:cstheme="minorHAnsi"/>
        </w:rPr>
      </w:pPr>
      <w:r w:rsidRPr="00B31B72">
        <w:rPr>
          <w:rFonts w:cstheme="minorHAnsi"/>
        </w:rPr>
        <w:t>Les symptômes de la phase sévère de la maladie d’Alzheimer</w:t>
      </w:r>
    </w:p>
    <w:p w:rsidR="006A282B" w:rsidRDefault="006A282B" w:rsidP="006A282B">
      <w:pPr>
        <w:rPr>
          <w:rFonts w:cstheme="minorHAnsi"/>
        </w:rPr>
      </w:pPr>
      <w:r w:rsidRPr="00B31B72">
        <w:rPr>
          <w:rFonts w:cstheme="minorHAnsi"/>
        </w:rPr>
        <w:t>Les particularités de la démence sur la prise en charge palliative</w:t>
      </w:r>
      <w:r>
        <w:rPr>
          <w:rFonts w:cstheme="minorHAnsi"/>
        </w:rPr>
        <w:t xml:space="preserve"> : </w:t>
      </w:r>
    </w:p>
    <w:p w:rsidR="006A282B" w:rsidRDefault="006A282B" w:rsidP="006A282B">
      <w:pPr>
        <w:ind w:firstLine="708"/>
        <w:rPr>
          <w:rFonts w:cstheme="minorHAnsi"/>
        </w:rPr>
      </w:pPr>
      <w:r>
        <w:rPr>
          <w:rFonts w:cstheme="minorHAnsi"/>
        </w:rPr>
        <w:t>d</w:t>
      </w:r>
      <w:r w:rsidRPr="00B31B72">
        <w:rPr>
          <w:rFonts w:cstheme="minorHAnsi"/>
        </w:rPr>
        <w:t>ouleur et total pain</w:t>
      </w:r>
      <w:r>
        <w:rPr>
          <w:rFonts w:cstheme="minorHAnsi"/>
        </w:rPr>
        <w:t xml:space="preserve">, </w:t>
      </w:r>
    </w:p>
    <w:p w:rsidR="006A282B" w:rsidRDefault="006A282B" w:rsidP="006A282B">
      <w:pPr>
        <w:ind w:firstLine="708"/>
        <w:rPr>
          <w:rFonts w:cstheme="minorHAnsi"/>
        </w:rPr>
      </w:pPr>
      <w:r>
        <w:rPr>
          <w:rFonts w:cstheme="minorHAnsi"/>
        </w:rPr>
        <w:t>a</w:t>
      </w:r>
      <w:r w:rsidRPr="00B31B72">
        <w:rPr>
          <w:rFonts w:cstheme="minorHAnsi"/>
        </w:rPr>
        <w:t>nxiété</w:t>
      </w:r>
      <w:r>
        <w:rPr>
          <w:rFonts w:cstheme="minorHAnsi"/>
        </w:rPr>
        <w:t>,</w:t>
      </w:r>
    </w:p>
    <w:p w:rsidR="006A282B" w:rsidRDefault="006A282B" w:rsidP="006A282B">
      <w:pPr>
        <w:ind w:firstLine="708"/>
        <w:rPr>
          <w:rFonts w:cstheme="minorHAnsi"/>
        </w:rPr>
      </w:pPr>
      <w:r>
        <w:rPr>
          <w:rFonts w:cstheme="minorHAnsi"/>
        </w:rPr>
        <w:t>a</w:t>
      </w:r>
      <w:r w:rsidRPr="00B31B72">
        <w:rPr>
          <w:rFonts w:cstheme="minorHAnsi"/>
        </w:rPr>
        <w:t>limentation, hydratation, troubles de la déglutitio</w:t>
      </w:r>
      <w:r>
        <w:rPr>
          <w:rFonts w:cstheme="minorHAnsi"/>
        </w:rPr>
        <w:t>n</w:t>
      </w:r>
    </w:p>
    <w:p w:rsidR="006A282B" w:rsidRDefault="006A282B" w:rsidP="006A282B">
      <w:pPr>
        <w:ind w:firstLine="708"/>
        <w:rPr>
          <w:rFonts w:cstheme="minorHAnsi"/>
        </w:rPr>
      </w:pPr>
      <w:r>
        <w:rPr>
          <w:rFonts w:cstheme="minorHAnsi"/>
        </w:rPr>
        <w:t>a</w:t>
      </w:r>
      <w:r w:rsidRPr="00B31B72">
        <w:rPr>
          <w:rFonts w:cstheme="minorHAnsi"/>
        </w:rPr>
        <w:t>utres symptômes et difficultés à évaluer/traiter en raison de la démence</w:t>
      </w:r>
    </w:p>
    <w:p w:rsidR="006A282B" w:rsidRPr="00B31B72" w:rsidRDefault="006A282B" w:rsidP="006A282B">
      <w:pPr>
        <w:rPr>
          <w:rFonts w:cstheme="minorHAnsi"/>
        </w:rPr>
      </w:pPr>
      <w:r w:rsidRPr="00B31B72">
        <w:rPr>
          <w:rFonts w:cstheme="minorHAnsi"/>
        </w:rPr>
        <w:t>Les soins relationnels et les difficultés de communication</w:t>
      </w:r>
    </w:p>
    <w:p w:rsidR="006A282B" w:rsidRDefault="006A282B" w:rsidP="006A282B">
      <w:pPr>
        <w:rPr>
          <w:rFonts w:cstheme="minorHAnsi"/>
        </w:rPr>
      </w:pPr>
      <w:r w:rsidRPr="00B31B72">
        <w:rPr>
          <w:rFonts w:cstheme="minorHAnsi"/>
        </w:rPr>
        <w:t xml:space="preserve">La </w:t>
      </w:r>
      <w:r>
        <w:rPr>
          <w:rFonts w:cstheme="minorHAnsi"/>
        </w:rPr>
        <w:t xml:space="preserve">démence et le système </w:t>
      </w:r>
      <w:r w:rsidRPr="00B31B72">
        <w:rPr>
          <w:rFonts w:cstheme="minorHAnsi"/>
        </w:rPr>
        <w:t>famil</w:t>
      </w:r>
      <w:r>
        <w:rPr>
          <w:rFonts w:cstheme="minorHAnsi"/>
        </w:rPr>
        <w:t xml:space="preserve">ial </w:t>
      </w:r>
      <w:r w:rsidRPr="00B31B72">
        <w:rPr>
          <w:rFonts w:cstheme="minorHAnsi"/>
        </w:rPr>
        <w:t>:</w:t>
      </w:r>
    </w:p>
    <w:p w:rsidR="006A282B" w:rsidRDefault="006A282B" w:rsidP="006A282B">
      <w:pPr>
        <w:ind w:firstLine="708"/>
        <w:rPr>
          <w:rFonts w:cstheme="minorHAnsi"/>
        </w:rPr>
      </w:pPr>
      <w:r w:rsidRPr="00B31B72">
        <w:rPr>
          <w:rFonts w:cstheme="minorHAnsi"/>
        </w:rPr>
        <w:t>quels chemins ont déjà parcourus le malade et sa famille avant la fin de vie</w:t>
      </w:r>
      <w:r>
        <w:rPr>
          <w:rFonts w:cstheme="minorHAnsi"/>
        </w:rPr>
        <w:t> ?</w:t>
      </w:r>
    </w:p>
    <w:p w:rsidR="006A282B" w:rsidRPr="00B31B72" w:rsidRDefault="006A282B" w:rsidP="006A282B">
      <w:pPr>
        <w:ind w:firstLine="708"/>
        <w:rPr>
          <w:rFonts w:cstheme="minorHAnsi"/>
        </w:rPr>
      </w:pPr>
      <w:r>
        <w:rPr>
          <w:rFonts w:cstheme="minorHAnsi"/>
        </w:rPr>
        <w:t>e</w:t>
      </w:r>
      <w:r w:rsidRPr="00B31B72">
        <w:rPr>
          <w:rFonts w:cstheme="minorHAnsi"/>
        </w:rPr>
        <w:t>n quoi la démence complique les relations en fin de vie et le deuil</w:t>
      </w:r>
      <w:r>
        <w:rPr>
          <w:rFonts w:cstheme="minorHAnsi"/>
        </w:rPr>
        <w:t> ?</w:t>
      </w:r>
    </w:p>
    <w:p w:rsidR="006A282B" w:rsidRPr="00B31B72" w:rsidRDefault="006A282B" w:rsidP="006A282B">
      <w:pPr>
        <w:rPr>
          <w:rFonts w:cstheme="minorHAnsi"/>
        </w:rPr>
      </w:pPr>
      <w:r w:rsidRPr="00B31B72">
        <w:rPr>
          <w:rFonts w:cstheme="minorHAnsi"/>
        </w:rPr>
        <w:t>Aspects légaux :</w:t>
      </w:r>
    </w:p>
    <w:p w:rsidR="006A282B" w:rsidRPr="00B31B72" w:rsidRDefault="006A282B" w:rsidP="006A282B">
      <w:pPr>
        <w:rPr>
          <w:rFonts w:cstheme="minorHAnsi"/>
        </w:rPr>
      </w:pPr>
      <w:r w:rsidRPr="00B31B72">
        <w:rPr>
          <w:rFonts w:cstheme="minorHAnsi"/>
        </w:rPr>
        <w:t xml:space="preserve">    déclaration anticipée</w:t>
      </w:r>
    </w:p>
    <w:p w:rsidR="006A282B" w:rsidRPr="00B31B72" w:rsidRDefault="006A282B" w:rsidP="006A282B">
      <w:pPr>
        <w:rPr>
          <w:rFonts w:cstheme="minorHAnsi"/>
        </w:rPr>
      </w:pPr>
      <w:r w:rsidRPr="00B31B72">
        <w:rPr>
          <w:rFonts w:cstheme="minorHAnsi"/>
        </w:rPr>
        <w:t xml:space="preserve">    les personnes dites « inaptes »</w:t>
      </w:r>
    </w:p>
    <w:p w:rsidR="006A282B" w:rsidRPr="00B31B72" w:rsidRDefault="006A282B" w:rsidP="006A282B">
      <w:pPr>
        <w:rPr>
          <w:rFonts w:cstheme="minorHAnsi"/>
        </w:rPr>
      </w:pPr>
      <w:r w:rsidRPr="00B31B72">
        <w:rPr>
          <w:rFonts w:cstheme="minorHAnsi"/>
        </w:rPr>
        <w:t xml:space="preserve">    euthanasie et démence</w:t>
      </w:r>
    </w:p>
    <w:p w:rsidR="00707DC8" w:rsidRDefault="00B511B9" w:rsidP="003F0B42">
      <w:pPr>
        <w:spacing w:after="0" w:line="276" w:lineRule="auto"/>
        <w:rPr>
          <w:rFonts w:eastAsia="Arial" w:cstheme="minorHAnsi"/>
          <w:b/>
          <w:color w:val="215868"/>
          <w:sz w:val="28"/>
          <w:szCs w:val="28"/>
          <w14:shadow w14:blurRad="50800" w14:dist="38100" w14:dir="2700000" w14:sx="100000" w14:sy="100000" w14:kx="0" w14:ky="0" w14:algn="tl">
            <w14:srgbClr w14:val="000000">
              <w14:alpha w14:val="60000"/>
            </w14:srgbClr>
          </w14:shadow>
        </w:rPr>
      </w:pPr>
      <w:r w:rsidRPr="004C28AE">
        <w:rPr>
          <w:rFonts w:eastAsia="Arial" w:cstheme="minorHAnsi"/>
          <w:b/>
          <w:color w:val="215868"/>
          <w:sz w:val="28"/>
          <w:szCs w:val="28"/>
          <w14:shadow w14:blurRad="50800" w14:dist="38100" w14:dir="2700000" w14:sx="100000" w14:sy="100000" w14:kx="0" w14:ky="0" w14:algn="tl">
            <w14:srgbClr w14:val="000000">
              <w14:alpha w14:val="60000"/>
            </w14:srgbClr>
          </w14:shadow>
        </w:rPr>
        <w:lastRenderedPageBreak/>
        <w:t>Méthodologie</w:t>
      </w:r>
    </w:p>
    <w:p w:rsidR="006A282B" w:rsidRPr="00B31B72" w:rsidRDefault="006A282B" w:rsidP="006A282B">
      <w:pPr>
        <w:rPr>
          <w:rFonts w:cstheme="minorHAnsi"/>
        </w:rPr>
      </w:pPr>
      <w:r w:rsidRPr="00B31B72">
        <w:rPr>
          <w:rFonts w:cstheme="minorHAnsi"/>
        </w:rPr>
        <w:t>Réflexion et partage sur notre vécu en tant que professionnel à l’aide de supports (par ex photolangage)</w:t>
      </w:r>
      <w:r>
        <w:rPr>
          <w:rFonts w:cstheme="minorHAnsi"/>
        </w:rPr>
        <w:t>.</w:t>
      </w:r>
    </w:p>
    <w:p w:rsidR="006A282B" w:rsidRPr="00B31B72" w:rsidRDefault="006A282B" w:rsidP="006A282B">
      <w:pPr>
        <w:rPr>
          <w:rFonts w:cstheme="minorHAnsi"/>
        </w:rPr>
      </w:pPr>
      <w:r w:rsidRPr="00B31B72">
        <w:rPr>
          <w:rFonts w:cstheme="minorHAnsi"/>
        </w:rPr>
        <w:t>Support théorique accompagné d’une réflexion et d’une participation active du groupe avec analyse de situations vécues dans l’institution</w:t>
      </w:r>
      <w:r>
        <w:rPr>
          <w:rFonts w:cstheme="minorHAnsi"/>
        </w:rPr>
        <w:t>.</w:t>
      </w:r>
    </w:p>
    <w:p w:rsidR="00771386" w:rsidRPr="006A282B" w:rsidRDefault="006A282B" w:rsidP="006A282B">
      <w:pPr>
        <w:rPr>
          <w:rFonts w:cstheme="minorHAnsi"/>
        </w:rPr>
      </w:pPr>
      <w:r w:rsidRPr="00B31B72">
        <w:rPr>
          <w:rFonts w:cstheme="minorHAnsi"/>
        </w:rPr>
        <w:t>Réflexion sur l’intégration de nouvelles manières d’interagir avec les familles en crise (jeux de rôle et débriefing)</w:t>
      </w:r>
      <w:r>
        <w:rPr>
          <w:rFonts w:cstheme="minorHAnsi"/>
        </w:rPr>
        <w:t>.</w:t>
      </w:r>
    </w:p>
    <w:p w:rsidR="00707DC8" w:rsidRPr="004C28AE" w:rsidRDefault="000D5D1D" w:rsidP="003F0B42">
      <w:pPr>
        <w:spacing w:after="0" w:line="276" w:lineRule="auto"/>
        <w:rPr>
          <w:rFonts w:eastAsia="Arial" w:cstheme="minorHAnsi"/>
          <w:b/>
          <w:color w:val="215868"/>
          <w:sz w:val="28"/>
          <w:szCs w:val="28"/>
          <w14:shadow w14:blurRad="50800" w14:dist="38100" w14:dir="2700000" w14:sx="100000" w14:sy="100000" w14:kx="0" w14:ky="0" w14:algn="tl">
            <w14:srgbClr w14:val="000000">
              <w14:alpha w14:val="60000"/>
            </w14:srgbClr>
          </w14:shadow>
        </w:rPr>
      </w:pPr>
      <w:r>
        <w:rPr>
          <w:rFonts w:eastAsia="Arial" w:cstheme="minorHAnsi"/>
          <w:b/>
          <w:color w:val="215868"/>
          <w:sz w:val="28"/>
          <w:szCs w:val="28"/>
          <w14:shadow w14:blurRad="50800" w14:dist="38100" w14:dir="2700000" w14:sx="100000" w14:sy="100000" w14:kx="0" w14:ky="0" w14:algn="tl">
            <w14:srgbClr w14:val="000000">
              <w14:alpha w14:val="60000"/>
            </w14:srgbClr>
          </w14:shadow>
        </w:rPr>
        <w:t>Formateur(s)</w:t>
      </w:r>
    </w:p>
    <w:p w:rsidR="00771386" w:rsidRDefault="006A282B" w:rsidP="00B511B9">
      <w:pPr>
        <w:jc w:val="both"/>
      </w:pPr>
      <w:r>
        <w:t>Niwa Rosalie</w:t>
      </w:r>
      <w:r w:rsidR="003C3B1C">
        <w:t>, Snakkers Nathalie</w:t>
      </w:r>
      <w:r w:rsidR="00681C11">
        <w:t>.</w:t>
      </w:r>
    </w:p>
    <w:p w:rsidR="00B511B9" w:rsidRDefault="00A25102" w:rsidP="003F0B42">
      <w:pPr>
        <w:spacing w:after="0" w:line="276" w:lineRule="auto"/>
        <w:rPr>
          <w:rFonts w:eastAsia="Arial" w:cstheme="minorHAnsi"/>
          <w:b/>
          <w:color w:val="215868"/>
          <w:sz w:val="28"/>
          <w:szCs w:val="28"/>
          <w14:shadow w14:blurRad="50800" w14:dist="38100" w14:dir="2700000" w14:sx="100000" w14:sy="100000" w14:kx="0" w14:ky="0" w14:algn="tl">
            <w14:srgbClr w14:val="000000">
              <w14:alpha w14:val="60000"/>
            </w14:srgbClr>
          </w14:shadow>
        </w:rPr>
      </w:pPr>
      <w:r>
        <w:rPr>
          <w:rFonts w:eastAsia="Arial" w:cstheme="minorHAnsi"/>
          <w:b/>
          <w:color w:val="215868"/>
          <w:sz w:val="28"/>
          <w:szCs w:val="28"/>
          <w14:shadow w14:blurRad="50800" w14:dist="38100" w14:dir="2700000" w14:sx="100000" w14:sy="100000" w14:kx="0" w14:ky="0" w14:algn="tl">
            <w14:srgbClr w14:val="000000">
              <w14:alpha w14:val="60000"/>
            </w14:srgbClr>
          </w14:shadow>
        </w:rPr>
        <w:t>Durée</w:t>
      </w:r>
    </w:p>
    <w:p w:rsidR="00707DC8" w:rsidRDefault="006A282B" w:rsidP="00707DC8">
      <w:pPr>
        <w:jc w:val="both"/>
      </w:pPr>
      <w:r>
        <w:t>½ journée</w:t>
      </w:r>
      <w:r w:rsidR="00681C11">
        <w:t>.</w:t>
      </w:r>
    </w:p>
    <w:p w:rsidR="000D5D1D" w:rsidRPr="000D5D1D" w:rsidRDefault="000D5D1D" w:rsidP="000D5D1D">
      <w:pPr>
        <w:spacing w:after="0" w:line="276" w:lineRule="auto"/>
        <w:rPr>
          <w:rFonts w:eastAsia="Arial" w:cstheme="minorHAnsi"/>
          <w:b/>
          <w:color w:val="215868"/>
          <w:sz w:val="28"/>
          <w:szCs w:val="28"/>
          <w14:shadow w14:blurRad="50800" w14:dist="38100" w14:dir="2700000" w14:sx="100000" w14:sy="100000" w14:kx="0" w14:ky="0" w14:algn="tl">
            <w14:srgbClr w14:val="000000">
              <w14:alpha w14:val="60000"/>
            </w14:srgbClr>
          </w14:shadow>
        </w:rPr>
      </w:pPr>
      <w:bookmarkStart w:id="1" w:name="_Hlk55652801"/>
      <w:r w:rsidRPr="000D5D1D">
        <w:rPr>
          <w:rFonts w:eastAsia="Arial" w:cstheme="minorHAnsi"/>
          <w:b/>
          <w:color w:val="215868"/>
          <w:sz w:val="28"/>
          <w:szCs w:val="28"/>
          <w14:shadow w14:blurRad="50800" w14:dist="38100" w14:dir="2700000" w14:sx="100000" w14:sy="100000" w14:kx="0" w14:ky="0" w14:algn="tl">
            <w14:srgbClr w14:val="000000">
              <w14:alpha w14:val="60000"/>
            </w14:srgbClr>
          </w14:shadow>
        </w:rPr>
        <w:t xml:space="preserve">Thématiques complémentaires </w:t>
      </w:r>
    </w:p>
    <w:bookmarkEnd w:id="1"/>
    <w:p w:rsidR="00681C11" w:rsidRDefault="00681C11" w:rsidP="00681C11">
      <w:pPr>
        <w:pStyle w:val="NormalWeb"/>
        <w:shd w:val="clear" w:color="auto" w:fill="FFFFFF"/>
        <w:spacing w:before="0" w:beforeAutospacing="0" w:after="0" w:afterAutospacing="0"/>
        <w:rPr>
          <w:rFonts w:ascii="Helvetica" w:hAnsi="Helvetica" w:cs="Helvetica"/>
          <w:color w:val="85868C"/>
          <w:sz w:val="23"/>
          <w:szCs w:val="23"/>
        </w:rPr>
      </w:pPr>
      <w:r>
        <w:rPr>
          <w:rFonts w:ascii="Helvetica" w:hAnsi="Helvetica" w:cs="Helvetica"/>
          <w:color w:val="85868C"/>
          <w:sz w:val="23"/>
          <w:szCs w:val="23"/>
        </w:rPr>
        <w:fldChar w:fldCharType="begin"/>
      </w:r>
      <w:r>
        <w:rPr>
          <w:rFonts w:ascii="Helvetica" w:hAnsi="Helvetica" w:cs="Helvetica"/>
          <w:color w:val="85868C"/>
          <w:sz w:val="23"/>
          <w:szCs w:val="23"/>
        </w:rPr>
        <w:instrText xml:space="preserve"> HYPERLINK "https://www.formationsrepere.be/levaluation-de-la-douleur-chez-la-personne-mal-communicante-2/" </w:instrText>
      </w:r>
      <w:r>
        <w:rPr>
          <w:rFonts w:ascii="Helvetica" w:hAnsi="Helvetica" w:cs="Helvetica"/>
          <w:color w:val="85868C"/>
          <w:sz w:val="23"/>
          <w:szCs w:val="23"/>
        </w:rPr>
        <w:fldChar w:fldCharType="separate"/>
      </w:r>
      <w:r>
        <w:rPr>
          <w:rStyle w:val="Lienhypertexte"/>
          <w:rFonts w:ascii="Helvetica" w:hAnsi="Helvetica" w:cs="Helvetica"/>
          <w:color w:val="BD197E"/>
          <w:sz w:val="23"/>
          <w:szCs w:val="23"/>
        </w:rPr>
        <w:t>15 L’évaluation de la douleur chez la personne mal communicante</w:t>
      </w:r>
      <w:r>
        <w:rPr>
          <w:rFonts w:ascii="Helvetica" w:hAnsi="Helvetica" w:cs="Helvetica"/>
          <w:color w:val="85868C"/>
          <w:sz w:val="23"/>
          <w:szCs w:val="23"/>
        </w:rPr>
        <w:fldChar w:fldCharType="end"/>
      </w:r>
    </w:p>
    <w:p w:rsidR="00681C11" w:rsidRDefault="00247322" w:rsidP="00681C11">
      <w:pPr>
        <w:pStyle w:val="NormalWeb"/>
        <w:shd w:val="clear" w:color="auto" w:fill="FFFFFF"/>
        <w:spacing w:before="0" w:beforeAutospacing="0" w:after="0" w:afterAutospacing="0"/>
        <w:rPr>
          <w:rFonts w:ascii="Helvetica" w:hAnsi="Helvetica" w:cs="Helvetica"/>
          <w:color w:val="85868C"/>
          <w:sz w:val="23"/>
          <w:szCs w:val="23"/>
        </w:rPr>
      </w:pPr>
      <w:hyperlink r:id="rId8" w:history="1">
        <w:r w:rsidR="00681C11">
          <w:rPr>
            <w:rStyle w:val="Lienhypertexte"/>
            <w:rFonts w:ascii="Helvetica" w:hAnsi="Helvetica" w:cs="Helvetica"/>
            <w:color w:val="BD197E"/>
            <w:sz w:val="23"/>
            <w:szCs w:val="23"/>
          </w:rPr>
          <w:t>02 La gestion des symptômes en fin de vie</w:t>
        </w:r>
      </w:hyperlink>
    </w:p>
    <w:p w:rsidR="00681C11" w:rsidRDefault="00247322" w:rsidP="00681C11">
      <w:pPr>
        <w:pStyle w:val="NormalWeb"/>
        <w:shd w:val="clear" w:color="auto" w:fill="FFFFFF"/>
        <w:spacing w:before="0" w:beforeAutospacing="0" w:after="0" w:afterAutospacing="0"/>
        <w:rPr>
          <w:rFonts w:ascii="Helvetica" w:hAnsi="Helvetica" w:cs="Helvetica"/>
          <w:color w:val="85868C"/>
          <w:sz w:val="23"/>
          <w:szCs w:val="23"/>
        </w:rPr>
      </w:pPr>
      <w:hyperlink r:id="rId9" w:history="1">
        <w:r w:rsidR="00681C11">
          <w:rPr>
            <w:rStyle w:val="Lienhypertexte"/>
            <w:rFonts w:ascii="Helvetica" w:hAnsi="Helvetica" w:cs="Helvetica"/>
            <w:color w:val="BD197E"/>
            <w:sz w:val="23"/>
            <w:szCs w:val="23"/>
          </w:rPr>
          <w:t>03 Les différentes échelles d’évaluation utiles en fin de vie</w:t>
        </w:r>
      </w:hyperlink>
    </w:p>
    <w:p w:rsidR="00681C11" w:rsidRDefault="00247322" w:rsidP="00681C11">
      <w:pPr>
        <w:pStyle w:val="NormalWeb"/>
        <w:shd w:val="clear" w:color="auto" w:fill="FFFFFF"/>
        <w:spacing w:before="0" w:beforeAutospacing="0" w:after="0" w:afterAutospacing="0"/>
        <w:rPr>
          <w:rFonts w:ascii="Helvetica" w:hAnsi="Helvetica" w:cs="Helvetica"/>
          <w:color w:val="85868C"/>
          <w:sz w:val="23"/>
          <w:szCs w:val="23"/>
        </w:rPr>
      </w:pPr>
      <w:hyperlink r:id="rId10" w:history="1">
        <w:r w:rsidR="00681C11">
          <w:rPr>
            <w:rStyle w:val="Lienhypertexte"/>
            <w:rFonts w:ascii="Helvetica" w:hAnsi="Helvetica" w:cs="Helvetica"/>
            <w:color w:val="BD197E"/>
            <w:sz w:val="23"/>
            <w:szCs w:val="23"/>
          </w:rPr>
          <w:t>04 La déclaration anticipée et la demande d’euthanasie</w:t>
        </w:r>
      </w:hyperlink>
    </w:p>
    <w:p w:rsidR="00681C11" w:rsidRDefault="00247322" w:rsidP="00681C11">
      <w:pPr>
        <w:pStyle w:val="NormalWeb"/>
        <w:shd w:val="clear" w:color="auto" w:fill="FFFFFF"/>
        <w:spacing w:before="0" w:beforeAutospacing="0" w:after="0" w:afterAutospacing="0"/>
        <w:rPr>
          <w:rFonts w:ascii="Helvetica" w:hAnsi="Helvetica" w:cs="Helvetica"/>
          <w:color w:val="85868C"/>
          <w:sz w:val="23"/>
          <w:szCs w:val="23"/>
        </w:rPr>
      </w:pPr>
      <w:hyperlink r:id="rId11" w:history="1">
        <w:r w:rsidR="00681C11">
          <w:rPr>
            <w:rStyle w:val="Lienhypertexte"/>
            <w:rFonts w:ascii="Helvetica" w:hAnsi="Helvetica" w:cs="Helvetica"/>
            <w:color w:val="BD197E"/>
            <w:sz w:val="23"/>
            <w:szCs w:val="23"/>
          </w:rPr>
          <w:t>09 Le terrible moment de l’annonce (sp)</w:t>
        </w:r>
      </w:hyperlink>
    </w:p>
    <w:p w:rsidR="000D5D1D" w:rsidRDefault="000D5D1D" w:rsidP="00707DC8">
      <w:pPr>
        <w:jc w:val="both"/>
      </w:pPr>
    </w:p>
    <w:p w:rsidR="000D5D1D" w:rsidRPr="00707DC8" w:rsidRDefault="000D5D1D" w:rsidP="00707DC8">
      <w:pPr>
        <w:jc w:val="both"/>
      </w:pPr>
    </w:p>
    <w:sectPr w:rsidR="000D5D1D" w:rsidRPr="00707DC8" w:rsidSect="00FB56BE">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1134" w:left="107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22" w:rsidRDefault="00247322" w:rsidP="008E4203">
      <w:pPr>
        <w:spacing w:after="0" w:line="240" w:lineRule="auto"/>
      </w:pPr>
      <w:r>
        <w:separator/>
      </w:r>
    </w:p>
  </w:endnote>
  <w:endnote w:type="continuationSeparator" w:id="0">
    <w:p w:rsidR="00247322" w:rsidRDefault="00247322" w:rsidP="008E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F0" w:rsidRDefault="00F64E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38E" w:rsidRPr="003C4B5D" w:rsidRDefault="003C4B5D" w:rsidP="003C4B5D">
    <w:pPr>
      <w:spacing w:line="223" w:lineRule="exact"/>
      <w:ind w:left="20"/>
      <w:jc w:val="center"/>
      <w:rPr>
        <w:sz w:val="20"/>
      </w:rPr>
    </w:pPr>
    <w:r>
      <w:rPr>
        <w:color w:val="808080"/>
        <w:sz w:val="20"/>
      </w:rPr>
      <w:t xml:space="preserve">Formations Repère – </w:t>
    </w:r>
    <w:hyperlink r:id="rId1">
      <w:r>
        <w:rPr>
          <w:color w:val="808080"/>
          <w:sz w:val="20"/>
        </w:rPr>
        <w:t xml:space="preserve">www.formationsrepere.be </w:t>
      </w:r>
    </w:hyperlink>
    <w:r>
      <w:rPr>
        <w:color w:val="808080"/>
        <w:sz w:val="20"/>
      </w:rPr>
      <w:t xml:space="preserve">– </w:t>
    </w:r>
    <w:hyperlink r:id="rId2">
      <w:r>
        <w:rPr>
          <w:color w:val="808080"/>
          <w:sz w:val="20"/>
          <w:u w:val="single" w:color="808080"/>
        </w:rPr>
        <w:t>info@formationsrepere.be</w:t>
      </w:r>
      <w:r>
        <w:rPr>
          <w:color w:val="808080"/>
          <w:sz w:val="20"/>
        </w:rPr>
        <w:t xml:space="preserve"> </w:t>
      </w:r>
    </w:hyperlink>
    <w:r>
      <w:rPr>
        <w:color w:val="808080"/>
        <w:sz w:val="20"/>
      </w:rPr>
      <w:t>– T 0498/680207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F0" w:rsidRDefault="00F64E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22" w:rsidRDefault="00247322" w:rsidP="008E4203">
      <w:pPr>
        <w:spacing w:after="0" w:line="240" w:lineRule="auto"/>
      </w:pPr>
      <w:r>
        <w:separator/>
      </w:r>
    </w:p>
  </w:footnote>
  <w:footnote w:type="continuationSeparator" w:id="0">
    <w:p w:rsidR="00247322" w:rsidRDefault="00247322" w:rsidP="008E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F0" w:rsidRDefault="00F64E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F0" w:rsidRDefault="00F64E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F0" w:rsidRDefault="00F64E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E56"/>
    <w:multiLevelType w:val="hybridMultilevel"/>
    <w:tmpl w:val="03CAB2E8"/>
    <w:lvl w:ilvl="0" w:tplc="10ACF8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484CB6"/>
    <w:multiLevelType w:val="hybridMultilevel"/>
    <w:tmpl w:val="48DEC16A"/>
    <w:lvl w:ilvl="0" w:tplc="10ACF8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4D25"/>
    <w:multiLevelType w:val="hybridMultilevel"/>
    <w:tmpl w:val="70BAF718"/>
    <w:lvl w:ilvl="0" w:tplc="10ACF8F6">
      <w:start w:val="1"/>
      <w:numFmt w:val="bullet"/>
      <w:lvlText w:val=""/>
      <w:lvlJc w:val="left"/>
      <w:pPr>
        <w:ind w:left="720" w:hanging="360"/>
      </w:pPr>
      <w:rPr>
        <w:rFonts w:ascii="Symbol" w:hAnsi="Symbol" w:hint="default"/>
      </w:rPr>
    </w:lvl>
    <w:lvl w:ilvl="1" w:tplc="10ACF8F6">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D87B5B"/>
    <w:multiLevelType w:val="hybridMultilevel"/>
    <w:tmpl w:val="03308AD6"/>
    <w:lvl w:ilvl="0" w:tplc="10ACF8F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454F19"/>
    <w:multiLevelType w:val="hybridMultilevel"/>
    <w:tmpl w:val="63C26526"/>
    <w:lvl w:ilvl="0" w:tplc="10ACF8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F61052"/>
    <w:multiLevelType w:val="hybridMultilevel"/>
    <w:tmpl w:val="93D03DB4"/>
    <w:lvl w:ilvl="0" w:tplc="10ACF8F6">
      <w:start w:val="1"/>
      <w:numFmt w:val="bullet"/>
      <w:lvlText w:val=""/>
      <w:lvlJc w:val="left"/>
      <w:pPr>
        <w:ind w:left="720" w:hanging="360"/>
      </w:pPr>
      <w:rPr>
        <w:rFonts w:ascii="Symbol" w:hAnsi="Symbol" w:hint="default"/>
      </w:rPr>
    </w:lvl>
    <w:lvl w:ilvl="1" w:tplc="10ACF8F6">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DF2783E"/>
    <w:multiLevelType w:val="hybridMultilevel"/>
    <w:tmpl w:val="13CE2F2C"/>
    <w:lvl w:ilvl="0" w:tplc="10ACF8F6">
      <w:start w:val="1"/>
      <w:numFmt w:val="bullet"/>
      <w:lvlText w:val=""/>
      <w:lvlJc w:val="left"/>
      <w:pPr>
        <w:ind w:left="720" w:hanging="360"/>
      </w:pPr>
      <w:rPr>
        <w:rFonts w:ascii="Symbol" w:hAnsi="Symbol" w:hint="default"/>
      </w:rPr>
    </w:lvl>
    <w:lvl w:ilvl="1" w:tplc="10ACF8F6">
      <w:start w:val="1"/>
      <w:numFmt w:val="bullet"/>
      <w:lvlText w:val=""/>
      <w:lvlJc w:val="left"/>
      <w:pPr>
        <w:ind w:left="1440" w:hanging="360"/>
      </w:pPr>
      <w:rPr>
        <w:rFonts w:ascii="Symbol" w:hAnsi="Symbol" w:hint="default"/>
      </w:rPr>
    </w:lvl>
    <w:lvl w:ilvl="2" w:tplc="0C021DBC">
      <w:numFmt w:val="bullet"/>
      <w:lvlText w:val="-"/>
      <w:lvlJc w:val="left"/>
      <w:pPr>
        <w:ind w:left="2160" w:hanging="360"/>
      </w:pPr>
      <w:rPr>
        <w:rFonts w:ascii="Calibri" w:eastAsiaTheme="minorHAnsi"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85D3730"/>
    <w:multiLevelType w:val="hybridMultilevel"/>
    <w:tmpl w:val="B31E264C"/>
    <w:lvl w:ilvl="0" w:tplc="F1248F2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5671DB"/>
    <w:multiLevelType w:val="hybridMultilevel"/>
    <w:tmpl w:val="5B74FCAC"/>
    <w:lvl w:ilvl="0" w:tplc="10ACF8F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74"/>
    <w:rsid w:val="0001279F"/>
    <w:rsid w:val="00017D36"/>
    <w:rsid w:val="00033A9A"/>
    <w:rsid w:val="00040EF4"/>
    <w:rsid w:val="0004627F"/>
    <w:rsid w:val="0007307D"/>
    <w:rsid w:val="00074A3D"/>
    <w:rsid w:val="00091540"/>
    <w:rsid w:val="000B5A51"/>
    <w:rsid w:val="000C4A94"/>
    <w:rsid w:val="000D5D1D"/>
    <w:rsid w:val="000E7223"/>
    <w:rsid w:val="0012106C"/>
    <w:rsid w:val="001241EF"/>
    <w:rsid w:val="00147E77"/>
    <w:rsid w:val="001A5F64"/>
    <w:rsid w:val="001B1B4B"/>
    <w:rsid w:val="001C275B"/>
    <w:rsid w:val="001F3186"/>
    <w:rsid w:val="0020044F"/>
    <w:rsid w:val="00200598"/>
    <w:rsid w:val="00230A13"/>
    <w:rsid w:val="00242C3A"/>
    <w:rsid w:val="00247322"/>
    <w:rsid w:val="0027677B"/>
    <w:rsid w:val="00291946"/>
    <w:rsid w:val="00296880"/>
    <w:rsid w:val="002A3AE6"/>
    <w:rsid w:val="002A714E"/>
    <w:rsid w:val="002A7235"/>
    <w:rsid w:val="002B589D"/>
    <w:rsid w:val="002C3916"/>
    <w:rsid w:val="00304398"/>
    <w:rsid w:val="003052F4"/>
    <w:rsid w:val="00314311"/>
    <w:rsid w:val="003519F9"/>
    <w:rsid w:val="00381217"/>
    <w:rsid w:val="003C3B1C"/>
    <w:rsid w:val="003C4B5D"/>
    <w:rsid w:val="003F0B42"/>
    <w:rsid w:val="003F320B"/>
    <w:rsid w:val="003F49D7"/>
    <w:rsid w:val="003F5DFB"/>
    <w:rsid w:val="00404BDE"/>
    <w:rsid w:val="00415A8E"/>
    <w:rsid w:val="004425E5"/>
    <w:rsid w:val="00462E03"/>
    <w:rsid w:val="00464094"/>
    <w:rsid w:val="00486B3C"/>
    <w:rsid w:val="00487E31"/>
    <w:rsid w:val="004B084A"/>
    <w:rsid w:val="004B664F"/>
    <w:rsid w:val="004C28AE"/>
    <w:rsid w:val="004D1A4F"/>
    <w:rsid w:val="004E7261"/>
    <w:rsid w:val="004F2B66"/>
    <w:rsid w:val="005102EA"/>
    <w:rsid w:val="0051161F"/>
    <w:rsid w:val="005158F0"/>
    <w:rsid w:val="005170EF"/>
    <w:rsid w:val="00531574"/>
    <w:rsid w:val="00554011"/>
    <w:rsid w:val="00593096"/>
    <w:rsid w:val="005A2540"/>
    <w:rsid w:val="005C31D3"/>
    <w:rsid w:val="00602D23"/>
    <w:rsid w:val="00605ABD"/>
    <w:rsid w:val="006136DB"/>
    <w:rsid w:val="00623282"/>
    <w:rsid w:val="0066585A"/>
    <w:rsid w:val="00674AB7"/>
    <w:rsid w:val="00681C11"/>
    <w:rsid w:val="00684C8A"/>
    <w:rsid w:val="00686716"/>
    <w:rsid w:val="006A282B"/>
    <w:rsid w:val="006D4266"/>
    <w:rsid w:val="006E7D59"/>
    <w:rsid w:val="00707DC8"/>
    <w:rsid w:val="0072171F"/>
    <w:rsid w:val="0072545E"/>
    <w:rsid w:val="007325C3"/>
    <w:rsid w:val="0073332B"/>
    <w:rsid w:val="00740ABC"/>
    <w:rsid w:val="00771386"/>
    <w:rsid w:val="0078527E"/>
    <w:rsid w:val="007978DE"/>
    <w:rsid w:val="007F75A1"/>
    <w:rsid w:val="008079EE"/>
    <w:rsid w:val="00815FD4"/>
    <w:rsid w:val="008410A4"/>
    <w:rsid w:val="00846724"/>
    <w:rsid w:val="008942D5"/>
    <w:rsid w:val="008E4203"/>
    <w:rsid w:val="008F5625"/>
    <w:rsid w:val="00911298"/>
    <w:rsid w:val="009377F6"/>
    <w:rsid w:val="00955989"/>
    <w:rsid w:val="00957422"/>
    <w:rsid w:val="0096765D"/>
    <w:rsid w:val="00970789"/>
    <w:rsid w:val="00973462"/>
    <w:rsid w:val="00981B76"/>
    <w:rsid w:val="0098579B"/>
    <w:rsid w:val="009872A3"/>
    <w:rsid w:val="009940CB"/>
    <w:rsid w:val="009C29EB"/>
    <w:rsid w:val="009C6450"/>
    <w:rsid w:val="00A013FC"/>
    <w:rsid w:val="00A07131"/>
    <w:rsid w:val="00A23423"/>
    <w:rsid w:val="00A25102"/>
    <w:rsid w:val="00A30BB2"/>
    <w:rsid w:val="00A33786"/>
    <w:rsid w:val="00A53D3F"/>
    <w:rsid w:val="00A653D6"/>
    <w:rsid w:val="00A673E8"/>
    <w:rsid w:val="00A92EEB"/>
    <w:rsid w:val="00AC0BED"/>
    <w:rsid w:val="00AC76DD"/>
    <w:rsid w:val="00B0402D"/>
    <w:rsid w:val="00B1016B"/>
    <w:rsid w:val="00B20432"/>
    <w:rsid w:val="00B511B9"/>
    <w:rsid w:val="00B63E49"/>
    <w:rsid w:val="00B64513"/>
    <w:rsid w:val="00B703D5"/>
    <w:rsid w:val="00B7654B"/>
    <w:rsid w:val="00B92148"/>
    <w:rsid w:val="00BC1FEE"/>
    <w:rsid w:val="00BC3D32"/>
    <w:rsid w:val="00BC410D"/>
    <w:rsid w:val="00BD274D"/>
    <w:rsid w:val="00C003E9"/>
    <w:rsid w:val="00C02E1F"/>
    <w:rsid w:val="00C07D5C"/>
    <w:rsid w:val="00C14E40"/>
    <w:rsid w:val="00C465B6"/>
    <w:rsid w:val="00CA4D7E"/>
    <w:rsid w:val="00CA5FD1"/>
    <w:rsid w:val="00D07A0C"/>
    <w:rsid w:val="00D102CD"/>
    <w:rsid w:val="00D677D1"/>
    <w:rsid w:val="00D72636"/>
    <w:rsid w:val="00D753E8"/>
    <w:rsid w:val="00D90A72"/>
    <w:rsid w:val="00D951F2"/>
    <w:rsid w:val="00DD2330"/>
    <w:rsid w:val="00DF4F34"/>
    <w:rsid w:val="00E0638E"/>
    <w:rsid w:val="00E3391B"/>
    <w:rsid w:val="00E36D0A"/>
    <w:rsid w:val="00E93FE7"/>
    <w:rsid w:val="00EC1C71"/>
    <w:rsid w:val="00EC6100"/>
    <w:rsid w:val="00EF5FBE"/>
    <w:rsid w:val="00F10944"/>
    <w:rsid w:val="00F141B3"/>
    <w:rsid w:val="00F246F2"/>
    <w:rsid w:val="00F4261E"/>
    <w:rsid w:val="00F64EF0"/>
    <w:rsid w:val="00F70931"/>
    <w:rsid w:val="00F939C2"/>
    <w:rsid w:val="00FB2625"/>
    <w:rsid w:val="00FB56BE"/>
    <w:rsid w:val="00FE4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6BDC"/>
  <w15:chartTrackingRefBased/>
  <w15:docId w15:val="{7256C08F-204F-4591-8D25-B8F9CF89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1B9"/>
    <w:pPr>
      <w:ind w:left="720"/>
      <w:contextualSpacing/>
    </w:pPr>
  </w:style>
  <w:style w:type="character" w:styleId="Lienhypertexte">
    <w:name w:val="Hyperlink"/>
    <w:basedOn w:val="Policepardfaut"/>
    <w:uiPriority w:val="99"/>
    <w:unhideWhenUsed/>
    <w:rsid w:val="0066585A"/>
    <w:rPr>
      <w:color w:val="0000FF"/>
      <w:u w:val="single"/>
    </w:rPr>
  </w:style>
  <w:style w:type="table" w:styleId="Grilledutableau">
    <w:name w:val="Table Grid"/>
    <w:basedOn w:val="TableauNormal"/>
    <w:uiPriority w:val="39"/>
    <w:rsid w:val="0007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4203"/>
    <w:pPr>
      <w:tabs>
        <w:tab w:val="center" w:pos="4536"/>
        <w:tab w:val="right" w:pos="9072"/>
      </w:tabs>
      <w:spacing w:after="0" w:line="240" w:lineRule="auto"/>
    </w:pPr>
  </w:style>
  <w:style w:type="character" w:customStyle="1" w:styleId="En-tteCar">
    <w:name w:val="En-tête Car"/>
    <w:basedOn w:val="Policepardfaut"/>
    <w:link w:val="En-tte"/>
    <w:uiPriority w:val="99"/>
    <w:rsid w:val="008E4203"/>
  </w:style>
  <w:style w:type="paragraph" w:styleId="Pieddepage">
    <w:name w:val="footer"/>
    <w:basedOn w:val="Normal"/>
    <w:link w:val="PieddepageCar"/>
    <w:uiPriority w:val="99"/>
    <w:unhideWhenUsed/>
    <w:rsid w:val="008E42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203"/>
  </w:style>
  <w:style w:type="paragraph" w:styleId="Corpsdetexte">
    <w:name w:val="Body Text"/>
    <w:basedOn w:val="Normal"/>
    <w:link w:val="CorpsdetexteCar"/>
    <w:rsid w:val="0096765D"/>
    <w:pPr>
      <w:spacing w:after="140" w:line="276" w:lineRule="auto"/>
    </w:pPr>
    <w:rPr>
      <w:rFonts w:ascii="Calibri" w:eastAsia="Calibri" w:hAnsi="Calibri" w:cs="Arial"/>
      <w:sz w:val="20"/>
      <w:szCs w:val="20"/>
      <w:lang w:eastAsia="fr-BE"/>
    </w:rPr>
  </w:style>
  <w:style w:type="character" w:customStyle="1" w:styleId="CorpsdetexteCar">
    <w:name w:val="Corps de texte Car"/>
    <w:basedOn w:val="Policepardfaut"/>
    <w:link w:val="Corpsdetexte"/>
    <w:rsid w:val="0096765D"/>
    <w:rPr>
      <w:rFonts w:ascii="Calibri" w:eastAsia="Calibri" w:hAnsi="Calibri" w:cs="Arial"/>
      <w:sz w:val="20"/>
      <w:szCs w:val="20"/>
      <w:lang w:eastAsia="fr-BE"/>
    </w:rPr>
  </w:style>
  <w:style w:type="paragraph" w:styleId="NormalWeb">
    <w:name w:val="Normal (Web)"/>
    <w:basedOn w:val="Normal"/>
    <w:uiPriority w:val="99"/>
    <w:semiHidden/>
    <w:unhideWhenUsed/>
    <w:rsid w:val="00681C1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2856">
      <w:bodyDiv w:val="1"/>
      <w:marLeft w:val="0"/>
      <w:marRight w:val="0"/>
      <w:marTop w:val="0"/>
      <w:marBottom w:val="0"/>
      <w:divBdr>
        <w:top w:val="none" w:sz="0" w:space="0" w:color="auto"/>
        <w:left w:val="none" w:sz="0" w:space="0" w:color="auto"/>
        <w:bottom w:val="none" w:sz="0" w:space="0" w:color="auto"/>
        <w:right w:val="none" w:sz="0" w:space="0" w:color="auto"/>
      </w:divBdr>
    </w:div>
    <w:div w:id="21102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ationsrepere.be/01la-gestion-des-symptomes-en-fin-de-v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mationsrepere.be/08le-terrible-moment-de-lanno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ormationsrepere.be/03la-declaration-anticipee-et-la-demande-deuthanas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ormationsrepere.be/02les-differentes-echelles-devaluation-utiles-en-fin-de-v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formationsrepere.be" TargetMode="External"/><Relationship Id="rId1" Type="http://schemas.openxmlformats.org/officeDocument/2006/relationships/hyperlink" Target="http://www.formationsrepe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Discart</dc:creator>
  <cp:keywords/>
  <dc:description/>
  <cp:lastModifiedBy>barbaix.alison@outlook.com</cp:lastModifiedBy>
  <cp:revision>5</cp:revision>
  <cp:lastPrinted>2020-06-10T21:01:00Z</cp:lastPrinted>
  <dcterms:created xsi:type="dcterms:W3CDTF">2020-11-07T15:45:00Z</dcterms:created>
  <dcterms:modified xsi:type="dcterms:W3CDTF">2020-12-04T08:37:00Z</dcterms:modified>
</cp:coreProperties>
</file>