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060" w:type="dxa"/>
        <w:jc w:val="center"/>
        <w:tblInd w:w="0" w:type="dxa"/>
        <w:tblCellMar>
          <w:top w:w="0" w:type="dxa"/>
          <w:left w:w="108" w:type="dxa"/>
          <w:bottom w:w="0" w:type="dxa"/>
          <w:right w:w="108" w:type="dxa"/>
        </w:tblCellMar>
        <w:tblLook w:firstRow="1" w:noVBand="1" w:lastRow="0" w:firstColumn="1" w:lastColumn="0" w:noHBand="0" w:val="04a0"/>
      </w:tblPr>
      <w:tblGrid>
        <w:gridCol w:w="2141"/>
        <w:gridCol w:w="7918"/>
      </w:tblGrid>
      <w:tr>
        <w:trPr/>
        <w:tc>
          <w:tcPr>
            <w:tcW w:w="2141" w:type="dxa"/>
            <w:tcBorders>
              <w:top w:val="outset" w:sz="8" w:space="0" w:color="000000"/>
              <w:left w:val="outset" w:sz="8" w:space="0" w:color="000000"/>
              <w:bottom w:val="nil"/>
              <w:right w:val="nil"/>
            </w:tcBorders>
            <w:shd w:color="auto" w:fill="auto" w:val="clear"/>
            <w:vAlign w:val="center"/>
          </w:tcPr>
          <w:p>
            <w:pPr>
              <w:pStyle w:val="Normal"/>
              <w:spacing w:lineRule="auto" w:line="240" w:before="0" w:after="0"/>
              <w:ind w:left="106" w:hanging="0"/>
              <w:jc w:val="both"/>
              <w:rPr>
                <w:color w:val="215868"/>
                <w14:textFill>
                  <w14:solidFill>
                    <w14:srgbClr w14:val="215868">
                      <w14:alpha w14:val="75000"/>
                    </w14:srgbClr>
                  </w14:solidFill>
                </w14:textFill>
              </w:rPr>
            </w:pPr>
            <w:r>
              <w:rPr/>
              <w:drawing>
                <wp:inline distT="0" distB="0" distL="0" distR="0">
                  <wp:extent cx="1097280" cy="1045845"/>
                  <wp:effectExtent l="0" t="0" r="0" b="0"/>
                  <wp:docPr id="1" name="Image 10" descr="E:\Profil\Mes documents\1 ANNE\SMART CLIENTS\3 Actifs\Formations Repère\6_CONTENUS\LOGO\Logo_HD_m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descr="E:\Profil\Mes documents\1 ANNE\SMART CLIENTS\3 Actifs\Formations Repère\6_CONTENUS\LOGO\Logo_HD_mains.png"/>
                          <pic:cNvPicPr>
                            <a:picLocks noChangeAspect="1" noChangeArrowheads="1"/>
                          </pic:cNvPicPr>
                        </pic:nvPicPr>
                        <pic:blipFill>
                          <a:blip r:embed="rId2"/>
                          <a:stretch>
                            <a:fillRect/>
                          </a:stretch>
                        </pic:blipFill>
                        <pic:spPr bwMode="auto">
                          <a:xfrm>
                            <a:off x="0" y="0"/>
                            <a:ext cx="1097280" cy="1045845"/>
                          </a:xfrm>
                          <a:prstGeom prst="rect">
                            <a:avLst/>
                          </a:prstGeom>
                        </pic:spPr>
                      </pic:pic>
                    </a:graphicData>
                  </a:graphic>
                </wp:inline>
              </w:drawing>
            </w:r>
          </w:p>
        </w:tc>
        <w:tc>
          <w:tcPr>
            <w:tcW w:w="7918" w:type="dxa"/>
            <w:tcBorders>
              <w:top w:val="outset" w:sz="8" w:space="0" w:color="000000"/>
              <w:left w:val="nil"/>
              <w:bottom w:val="nil"/>
              <w:right w:val="outset" w:sz="8" w:space="0" w:color="000000"/>
            </w:tcBorders>
            <w:shd w:color="auto" w:fill="auto" w:val="clear"/>
            <w:vAlign w:val="center"/>
          </w:tcPr>
          <w:p>
            <w:pPr>
              <w:pStyle w:val="Normal"/>
              <w:spacing w:lineRule="auto" w:line="276" w:before="0" w:after="0"/>
              <w:jc w:val="center"/>
              <w:rPr/>
            </w:pPr>
            <w:r>
              <w:rPr>
                <w:rFonts w:eastAsia="Arial" w:cs="Calibri" w:cstheme="minorHAnsi"/>
                <w:b/>
                <w:color w:val="215868"/>
                <w:sz w:val="36"/>
                <w:szCs w:val="36"/>
                <w14:shadow w14:blurRad="50800" w14:dist="38100" w14:dir="2700000" w14:sx="100000" w14:sy="100000" w14:kx="0" w14:ky="0" w14:algn="tl">
                  <w14:srgbClr w14:val="000000">
                    <w14:alpha w14:val="60000"/>
                  </w14:srgbClr>
                </w14:shadow>
              </w:rPr>
              <w:t>Nos résistances face à la fin de vie : osons en parler !</w:t>
            </w:r>
          </w:p>
          <w:p>
            <w:pPr>
              <w:pStyle w:val="Normal"/>
              <w:spacing w:lineRule="auto" w:line="276" w:before="0" w:after="0"/>
              <w:jc w:val="center"/>
              <w:rPr>
                <w:color w:val="C9211E"/>
              </w:rPr>
            </w:pPr>
            <w:r>
              <w:rPr>
                <w:rFonts w:eastAsia="Arial" w:cs="Calibri" w:cstheme="minorHAnsi"/>
                <w:b/>
                <w:color w:val="C9211E"/>
                <w:sz w:val="36"/>
                <w:szCs w:val="36"/>
                <w14:shadow w14:blurRad="50800" w14:dist="38100" w14:dir="2700000" w14:sx="100000" w14:sy="100000" w14:kx="0" w14:ky="0" w14:algn="tl">
                  <w14:srgbClr w14:val="000000">
                    <w14:alpha w14:val="60000"/>
                  </w14:srgbClr>
                </w14:shadow>
              </w:rPr>
              <w:t xml:space="preserve">Le 20/05/21 en visio conférence  </w:t>
            </w:r>
          </w:p>
        </w:tc>
      </w:tr>
    </w:tbl>
    <w:p>
      <w:pPr>
        <w:pStyle w:val="Normal"/>
        <w:jc w:val="both"/>
        <w:rPr/>
      </w:pPr>
      <w:r>
        <w:rPr/>
      </w:r>
    </w:p>
    <w:p>
      <w:pPr>
        <w:pStyle w:val="Normal"/>
        <w:jc w:val="center"/>
        <w:rPr>
          <w:rFonts w:eastAsia="Arial" w:cs="Calibri" w:cstheme="minorHAnsi"/>
          <w:b/>
          <w:b/>
          <w:color w:val="215868"/>
          <w:sz w:val="28"/>
          <w:szCs w:val="28"/>
          <w14:shadow w14:blurRad="50800" w14:dist="38100" w14:dir="2700000" w14:sx="100000" w14:sy="100000" w14:kx="0" w14:ky="0" w14:algn="tl">
            <w14:srgbClr w14:val="000000">
              <w14:alpha w14:val="60000"/>
            </w14:srgbClr>
          </w14:shadow>
        </w:rPr>
      </w:pPr>
      <w:r>
        <w:rPr>
          <w:rFonts w:cs="Calibri" w:cstheme="minorHAnsi"/>
        </w:rPr>
        <w:t>Comprendre ce qui nous freine individuellement et/ou collectivement dans l‘approche palliative permettra aux participants d’oser faire un premier pas vers le patient et ses proches. S’écouter, observer sans juger, analyser, penser aux pistes d’amélioration seront les bases de cette formation à haute valeur humaine ajoutée.</w:t>
      </w:r>
      <w:r>
        <w:rPr>
          <w:rFonts w:eastAsia="Arial" w:cs="Calibri" w:cstheme="minorHAnsi"/>
          <w:b/>
          <w:color w:val="215868"/>
          <w:sz w:val="28"/>
          <w:szCs w:val="28"/>
          <w14:shadow w14:blurRad="50800" w14:dist="38100" w14:dir="2700000" w14:sx="100000" w14:sy="100000" w14:kx="0" w14:ky="0" w14:algn="tl">
            <w14:srgbClr w14:val="000000">
              <w14:alpha w14:val="60000"/>
            </w14:srgbClr>
          </w14:shadow>
        </w:rPr>
        <w:t xml:space="preserve"> </w:t>
      </w:r>
    </w:p>
    <w:p>
      <w:pPr>
        <w:pStyle w:val="Normal"/>
        <w:spacing w:lineRule="auto" w:line="276" w:before="0" w:after="0"/>
        <w:rPr>
          <w:rFonts w:eastAsia="Arial" w:cs="Calibri" w:cstheme="minorHAnsi"/>
          <w:b/>
          <w:b/>
          <w:color w:val="215868"/>
          <w:sz w:val="28"/>
          <w:szCs w:val="28"/>
          <w14:shadow w14:blurRad="50800" w14:dist="38100" w14:dir="2700000" w14:sx="100000" w14:sy="100000" w14:kx="0" w14:ky="0" w14:algn="tl">
            <w14:srgbClr w14:val="000000">
              <w14:alpha w14:val="60000"/>
            </w14:srgbClr>
          </w14:shadow>
        </w:rPr>
      </w:pPr>
      <w:r>
        <w:rPr>
          <w:rFonts w:eastAsia="Arial" w:cs="Calibri" w:cstheme="minorHAnsi"/>
          <w:b/>
          <w:color w:val="215868"/>
          <w:sz w:val="28"/>
          <w:szCs w:val="28"/>
          <w14:shadow w14:blurRad="50800" w14:dist="38100" w14:dir="2700000" w14:sx="100000" w14:sy="100000" w14:kx="0" w14:ky="0" w14:algn="tl">
            <w14:srgbClr w14:val="000000">
              <w14:alpha w14:val="60000"/>
            </w14:srgbClr>
          </w14:shadow>
        </w:rPr>
        <w:t>Public cible</w:t>
      </w:r>
    </w:p>
    <w:p>
      <w:pPr>
        <w:pStyle w:val="Normal"/>
        <w:rPr>
          <w:rFonts w:cs="Calibri" w:cstheme="minorHAnsi"/>
        </w:rPr>
      </w:pPr>
      <w:r>
        <w:rPr>
          <w:rFonts w:cs="Calibri" w:cstheme="minorHAnsi"/>
          <w:shd w:fill="FFFFFF" w:val="clear"/>
        </w:rPr>
        <w:t>Personnel soignant en institution et à domicile.</w:t>
      </w:r>
      <w:r>
        <w:rPr>
          <w:rFonts w:cs="Calibri" w:cstheme="minorHAnsi"/>
        </w:rPr>
        <w:tab/>
      </w:r>
    </w:p>
    <w:p>
      <w:pPr>
        <w:pStyle w:val="Normal"/>
        <w:spacing w:lineRule="auto" w:line="276" w:before="0" w:after="0"/>
        <w:rPr>
          <w:rFonts w:eastAsia="Arial" w:cs="Calibri" w:cstheme="minorHAnsi"/>
          <w:b/>
          <w:b/>
          <w:color w:val="215868"/>
          <w:sz w:val="28"/>
          <w:szCs w:val="28"/>
          <w14:shadow w14:blurRad="50800" w14:dist="38100" w14:dir="2700000" w14:sx="100000" w14:sy="100000" w14:kx="0" w14:ky="0" w14:algn="tl">
            <w14:srgbClr w14:val="000000">
              <w14:alpha w14:val="60000"/>
            </w14:srgbClr>
          </w14:shadow>
        </w:rPr>
      </w:pPr>
      <w:r>
        <w:rPr>
          <w:rFonts w:eastAsia="Arial" w:cs="Calibri" w:cstheme="minorHAnsi"/>
          <w:b/>
          <w:color w:val="215868"/>
          <w:sz w:val="28"/>
          <w:szCs w:val="28"/>
          <w14:shadow w14:blurRad="50800" w14:dist="38100" w14:dir="2700000" w14:sx="100000" w14:sy="100000" w14:kx="0" w14:ky="0" w14:algn="tl">
            <w14:srgbClr w14:val="000000">
              <w14:alpha w14:val="60000"/>
            </w14:srgbClr>
          </w14:shadow>
        </w:rPr>
        <w:t>Objectifs</w:t>
      </w:r>
    </w:p>
    <w:p>
      <w:pPr>
        <w:pStyle w:val="ListParagraph"/>
        <w:numPr>
          <w:ilvl w:val="0"/>
          <w:numId w:val="1"/>
        </w:numPr>
        <w:shd w:val="clear" w:color="auto" w:fill="FFFFFF"/>
        <w:spacing w:lineRule="auto" w:line="240" w:before="0" w:after="150"/>
        <w:contextualSpacing/>
        <w:rPr>
          <w:rFonts w:eastAsia="Times New Roman" w:cs="Calibri" w:cstheme="minorHAnsi"/>
          <w:lang w:eastAsia="fr-BE"/>
        </w:rPr>
      </w:pPr>
      <w:r>
        <w:rPr>
          <w:rFonts w:eastAsia="Times New Roman" w:cs="Calibri" w:cstheme="minorHAnsi"/>
          <w:lang w:eastAsia="fr-BE"/>
        </w:rPr>
        <w:t xml:space="preserve">Placer le résident au centre d’une prise en charge globale d’équipe multidisciplinaire pour lui offrir un accompagnement en fin de vie malgré toutes les difficultés personnelles et extérieures qui peuvent exister </w:t>
      </w:r>
    </w:p>
    <w:p>
      <w:pPr>
        <w:pStyle w:val="ListParagraph"/>
        <w:numPr>
          <w:ilvl w:val="0"/>
          <w:numId w:val="1"/>
        </w:numPr>
        <w:shd w:val="clear" w:color="auto" w:fill="FFFFFF"/>
        <w:spacing w:lineRule="auto" w:line="240" w:before="0" w:after="0"/>
        <w:contextualSpacing/>
        <w:rPr>
          <w:rFonts w:eastAsia="Times New Roman" w:cs="Calibri" w:cstheme="minorHAnsi"/>
          <w:lang w:eastAsia="fr-BE"/>
        </w:rPr>
      </w:pPr>
      <w:r>
        <w:rPr>
          <w:rFonts w:eastAsia="Times New Roman" w:cs="Calibri" w:cstheme="minorHAnsi"/>
          <w:lang w:eastAsia="fr-BE"/>
        </w:rPr>
        <w:t>Réfléchir sur son propre fonctionnement</w:t>
      </w:r>
    </w:p>
    <w:p>
      <w:pPr>
        <w:pStyle w:val="ListParagraph"/>
        <w:numPr>
          <w:ilvl w:val="0"/>
          <w:numId w:val="1"/>
        </w:numPr>
        <w:shd w:val="clear" w:color="auto" w:fill="FFFFFF"/>
        <w:spacing w:lineRule="auto" w:line="240" w:before="0" w:after="0"/>
        <w:contextualSpacing/>
        <w:rPr>
          <w:rFonts w:eastAsia="Times New Roman" w:cs="Calibri" w:cstheme="minorHAnsi"/>
          <w:lang w:eastAsia="fr-BE"/>
        </w:rPr>
      </w:pPr>
      <w:r>
        <w:rPr>
          <w:rFonts w:eastAsia="Times New Roman" w:cs="Calibri" w:cstheme="minorHAnsi"/>
          <w:lang w:eastAsia="fr-BE"/>
        </w:rPr>
        <w:t>Réfléchir au fonctionnement d’équipe</w:t>
      </w:r>
    </w:p>
    <w:p>
      <w:pPr>
        <w:pStyle w:val="ListParagraph"/>
        <w:numPr>
          <w:ilvl w:val="0"/>
          <w:numId w:val="1"/>
        </w:numPr>
        <w:shd w:val="clear" w:color="auto" w:fill="FFFFFF"/>
        <w:spacing w:lineRule="auto" w:line="240" w:before="0" w:after="0"/>
        <w:contextualSpacing/>
        <w:rPr>
          <w:rFonts w:eastAsia="Times New Roman" w:cs="Calibri" w:cstheme="minorHAnsi"/>
          <w:lang w:eastAsia="fr-BE"/>
        </w:rPr>
      </w:pPr>
      <w:r>
        <w:rPr>
          <w:rFonts w:eastAsia="Times New Roman" w:cs="Calibri" w:cstheme="minorHAnsi"/>
          <w:lang w:eastAsia="fr-BE"/>
        </w:rPr>
        <w:t>Réfléchir aux divers liens au sein de l’institution</w:t>
      </w:r>
    </w:p>
    <w:p>
      <w:pPr>
        <w:pStyle w:val="ListParagraph"/>
        <w:numPr>
          <w:ilvl w:val="0"/>
          <w:numId w:val="1"/>
        </w:numPr>
        <w:shd w:val="clear" w:color="auto" w:fill="FFFFFF"/>
        <w:spacing w:lineRule="auto" w:line="240" w:before="0" w:after="0"/>
        <w:contextualSpacing/>
        <w:rPr>
          <w:rFonts w:eastAsia="Times New Roman" w:cs="Calibri" w:cstheme="minorHAnsi"/>
          <w:lang w:eastAsia="fr-BE"/>
        </w:rPr>
      </w:pPr>
      <w:r>
        <w:rPr>
          <w:rFonts w:eastAsia="Times New Roman" w:cs="Calibri" w:cstheme="minorHAnsi"/>
          <w:lang w:eastAsia="fr-BE"/>
        </w:rPr>
        <w:t>Réfléchir aux liens extérieurs : seconde ligne, médecins, famille…</w:t>
      </w:r>
    </w:p>
    <w:p>
      <w:pPr>
        <w:pStyle w:val="ListParagraph"/>
        <w:numPr>
          <w:ilvl w:val="0"/>
          <w:numId w:val="1"/>
        </w:numPr>
        <w:shd w:val="clear" w:color="auto" w:fill="FFFFFF"/>
        <w:spacing w:lineRule="auto" w:line="240" w:before="0" w:after="150"/>
        <w:contextualSpacing/>
        <w:rPr>
          <w:rFonts w:eastAsia="Times New Roman" w:cs="Calibri" w:cstheme="minorHAnsi"/>
          <w:lang w:eastAsia="fr-BE"/>
        </w:rPr>
      </w:pPr>
      <w:r>
        <w:rPr>
          <w:rFonts w:eastAsia="Times New Roman" w:cs="Calibri" w:cstheme="minorHAnsi"/>
          <w:lang w:eastAsia="fr-BE"/>
        </w:rPr>
        <w:t>Après identification des freins, comment lever les obstacles afin d’offrir une prise en charge de qualité</w:t>
      </w:r>
    </w:p>
    <w:p>
      <w:pPr>
        <w:pStyle w:val="ListParagraph"/>
        <w:numPr>
          <w:ilvl w:val="0"/>
          <w:numId w:val="1"/>
        </w:numPr>
        <w:shd w:val="clear" w:color="auto" w:fill="FFFFFF"/>
        <w:spacing w:lineRule="auto" w:line="240" w:before="0" w:after="150"/>
        <w:contextualSpacing/>
        <w:rPr>
          <w:rFonts w:eastAsia="Times New Roman" w:cs="Calibri" w:cstheme="minorHAnsi"/>
          <w:lang w:eastAsia="fr-BE"/>
        </w:rPr>
      </w:pPr>
      <w:r>
        <w:rPr>
          <w:rFonts w:eastAsia="Times New Roman" w:cs="Calibri" w:cstheme="minorHAnsi"/>
          <w:lang w:eastAsia="fr-BE"/>
        </w:rPr>
        <w:t>Prendre du recul par rapport à son vécu de soignant face à la mort</w:t>
      </w:r>
    </w:p>
    <w:p>
      <w:pPr>
        <w:pStyle w:val="Normal"/>
        <w:spacing w:lineRule="auto" w:line="276" w:before="0" w:after="0"/>
        <w:rPr>
          <w:rFonts w:eastAsia="Arial" w:cs="Calibri" w:cstheme="minorHAnsi"/>
          <w:b/>
          <w:b/>
          <w:color w:val="215868"/>
          <w:sz w:val="28"/>
          <w:szCs w:val="28"/>
          <w14:shadow w14:blurRad="50800" w14:dist="38100" w14:dir="2700000" w14:sx="100000" w14:sy="100000" w14:kx="0" w14:ky="0" w14:algn="tl">
            <w14:srgbClr w14:val="000000">
              <w14:alpha w14:val="60000"/>
            </w14:srgbClr>
          </w14:shadow>
        </w:rPr>
      </w:pPr>
      <w:r>
        <w:rPr>
          <w:rFonts w:eastAsia="Arial" w:cs="Calibri" w:cstheme="minorHAnsi"/>
          <w:b/>
          <w:color w:val="215868"/>
          <w:sz w:val="28"/>
          <w:szCs w:val="28"/>
          <w14:shadow w14:blurRad="50800" w14:dist="38100" w14:dir="2700000" w14:sx="100000" w14:sy="100000" w14:kx="0" w14:ky="0" w14:algn="tl">
            <w14:srgbClr w14:val="000000">
              <w14:alpha w14:val="60000"/>
            </w14:srgbClr>
          </w14:shadow>
        </w:rPr>
        <w:t>Contenu</w:t>
      </w:r>
    </w:p>
    <w:p>
      <w:pPr>
        <w:pStyle w:val="Normal"/>
        <w:shd w:val="clear" w:color="auto" w:fill="FFFFFF"/>
        <w:spacing w:lineRule="auto" w:line="240" w:before="0" w:after="0"/>
        <w:ind w:left="-60" w:hanging="0"/>
        <w:rPr>
          <w:rFonts w:eastAsia="Times New Roman" w:cs="Calibri" w:cstheme="minorHAnsi"/>
          <w:lang w:eastAsia="fr-BE"/>
        </w:rPr>
      </w:pPr>
      <w:r>
        <w:rPr>
          <w:rFonts w:eastAsia="Times New Roman" w:cs="Calibri" w:cstheme="minorHAnsi"/>
          <w:lang w:eastAsia="fr-BE"/>
        </w:rPr>
        <w:t>Définitions et philosophie des soins palliatifs</w:t>
      </w:r>
    </w:p>
    <w:p>
      <w:pPr>
        <w:pStyle w:val="Normal"/>
        <w:shd w:val="clear" w:color="auto" w:fill="FFFFFF"/>
        <w:spacing w:lineRule="auto" w:line="240" w:before="0" w:after="0"/>
        <w:ind w:left="-60" w:hanging="0"/>
        <w:rPr>
          <w:rFonts w:eastAsia="Times New Roman" w:cs="Calibri" w:cstheme="minorHAnsi"/>
          <w:lang w:eastAsia="fr-BE"/>
        </w:rPr>
      </w:pPr>
      <w:r>
        <w:rPr>
          <w:rFonts w:eastAsia="Times New Roman" w:cs="Calibri" w:cstheme="minorHAnsi"/>
          <w:lang w:eastAsia="fr-BE"/>
        </w:rPr>
        <w:t>Identification des freins entre la situation présente et la situation idéalisée</w:t>
      </w:r>
    </w:p>
    <w:p>
      <w:pPr>
        <w:pStyle w:val="Normal"/>
        <w:shd w:val="clear" w:color="auto" w:fill="FFFFFF"/>
        <w:spacing w:lineRule="auto" w:line="240" w:before="0" w:after="0"/>
        <w:ind w:left="-60" w:hanging="0"/>
        <w:rPr>
          <w:rFonts w:eastAsia="Times New Roman" w:cs="Calibri" w:cstheme="minorHAnsi"/>
          <w:lang w:eastAsia="fr-BE"/>
        </w:rPr>
      </w:pPr>
      <w:r>
        <w:rPr>
          <w:rFonts w:eastAsia="Times New Roman" w:cs="Calibri" w:cstheme="minorHAnsi"/>
          <w:lang w:eastAsia="fr-BE"/>
        </w:rPr>
        <w:t>Notions de valeurs et croyances</w:t>
      </w:r>
    </w:p>
    <w:p>
      <w:pPr>
        <w:pStyle w:val="Normal"/>
        <w:shd w:val="clear" w:color="auto" w:fill="FFFFFF"/>
        <w:spacing w:lineRule="auto" w:line="240" w:before="0" w:after="0"/>
        <w:ind w:left="-60" w:hanging="0"/>
        <w:rPr>
          <w:rFonts w:eastAsia="Times New Roman" w:cs="Calibri" w:cstheme="minorHAnsi"/>
          <w:lang w:eastAsia="fr-BE"/>
        </w:rPr>
      </w:pPr>
      <w:r>
        <w:rPr>
          <w:rFonts w:eastAsia="Times New Roman" w:cs="Calibri" w:cstheme="minorHAnsi"/>
          <w:lang w:eastAsia="fr-BE"/>
        </w:rPr>
        <w:t>Pistes pour lever les obstacles</w:t>
      </w:r>
    </w:p>
    <w:p>
      <w:pPr>
        <w:pStyle w:val="Normal"/>
        <w:shd w:val="clear" w:color="auto" w:fill="FFFFFF"/>
        <w:spacing w:lineRule="auto" w:line="240"/>
        <w:ind w:left="-60" w:hanging="0"/>
        <w:rPr>
          <w:rFonts w:eastAsia="Times New Roman" w:cs="Calibri" w:cstheme="minorHAnsi"/>
          <w:lang w:eastAsia="fr-BE"/>
        </w:rPr>
      </w:pPr>
      <w:r>
        <w:rPr>
          <w:rFonts w:eastAsia="Times New Roman" w:cs="Calibri" w:cstheme="minorHAnsi"/>
          <w:lang w:eastAsia="fr-BE"/>
        </w:rPr>
        <w:t>Desc</w:t>
      </w:r>
    </w:p>
    <w:p>
      <w:pPr>
        <w:pStyle w:val="Normal"/>
        <w:spacing w:lineRule="auto" w:line="276" w:before="0" w:after="0"/>
        <w:rPr>
          <w:rFonts w:eastAsia="Arial" w:cs="Calibri" w:cstheme="minorHAnsi"/>
          <w:b/>
          <w:b/>
          <w:color w:val="215868"/>
          <w:sz w:val="28"/>
          <w:szCs w:val="28"/>
          <w14:shadow w14:blurRad="50800" w14:dist="38100" w14:dir="2700000" w14:sx="100000" w14:sy="100000" w14:kx="0" w14:ky="0" w14:algn="tl">
            <w14:srgbClr w14:val="000000">
              <w14:alpha w14:val="60000"/>
            </w14:srgbClr>
          </w14:shadow>
        </w:rPr>
      </w:pPr>
      <w:r>
        <w:rPr>
          <w:rFonts w:eastAsia="Arial" w:cs="Calibri" w:cstheme="minorHAnsi"/>
          <w:b/>
          <w:color w:val="215868"/>
          <w:sz w:val="28"/>
          <w:szCs w:val="28"/>
          <w14:shadow w14:blurRad="50800" w14:dist="38100" w14:dir="2700000" w14:sx="100000" w14:sy="100000" w14:kx="0" w14:ky="0" w14:algn="tl">
            <w14:srgbClr w14:val="000000">
              <w14:alpha w14:val="60000"/>
            </w14:srgbClr>
          </w14:shadow>
        </w:rPr>
        <w:t>Méthodologie</w:t>
      </w:r>
    </w:p>
    <w:p>
      <w:pPr>
        <w:pStyle w:val="Normal"/>
        <w:rPr>
          <w:rFonts w:cs="Calibri" w:cstheme="minorHAnsi"/>
        </w:rPr>
      </w:pPr>
      <w:r>
        <w:rPr>
          <w:rFonts w:cs="Calibri" w:cstheme="minorHAnsi"/>
          <w:shd w:fill="FFFFFF" w:val="clear"/>
        </w:rPr>
        <w:t>Basés sur le vécu, attentes et connaissances des participants, méthodes et ateliers de pédagogies actives (méthode de facilitation visuelle et Thiagi) pour favoriser les échanges et la motivation à la formation continue.</w:t>
      </w:r>
    </w:p>
    <w:p>
      <w:pPr>
        <w:pStyle w:val="Normal"/>
        <w:spacing w:lineRule="auto" w:line="276" w:before="0" w:after="0"/>
        <w:rPr>
          <w:rFonts w:eastAsia="Arial" w:cs="Calibri" w:cstheme="minorHAnsi"/>
          <w:b/>
          <w:b/>
          <w:color w:val="215868"/>
          <w:sz w:val="28"/>
          <w:szCs w:val="28"/>
          <w14:shadow w14:blurRad="50800" w14:dist="38100" w14:dir="2700000" w14:sx="100000" w14:sy="100000" w14:kx="0" w14:ky="0" w14:algn="tl">
            <w14:srgbClr w14:val="000000">
              <w14:alpha w14:val="60000"/>
            </w14:srgbClr>
          </w14:shadow>
        </w:rPr>
      </w:pPr>
      <w:r>
        <w:rPr>
          <w:rFonts w:eastAsia="Arial" w:cs="Calibri" w:cstheme="minorHAnsi"/>
          <w:b/>
          <w:color w:val="215868"/>
          <w:sz w:val="28"/>
          <w:szCs w:val="28"/>
          <w14:shadow w14:blurRad="50800" w14:dist="38100" w14:dir="2700000" w14:sx="100000" w14:sy="100000" w14:kx="0" w14:ky="0" w14:algn="tl">
            <w14:srgbClr w14:val="000000">
              <w14:alpha w14:val="60000"/>
            </w14:srgbClr>
          </w14:shadow>
        </w:rPr>
        <w:t>Formateur(s)</w:t>
      </w:r>
    </w:p>
    <w:p>
      <w:pPr>
        <w:pStyle w:val="Normal"/>
        <w:jc w:val="both"/>
        <w:rPr/>
      </w:pPr>
      <w:r>
        <w:rPr/>
        <w:t>Snakkers Nathalie.</w:t>
      </w:r>
      <w:bookmarkStart w:id="0" w:name="_GoBack"/>
      <w:bookmarkEnd w:id="0"/>
    </w:p>
    <w:p>
      <w:pPr>
        <w:pStyle w:val="Normal"/>
        <w:spacing w:lineRule="auto" w:line="276" w:before="0" w:after="0"/>
        <w:rPr/>
      </w:pPr>
      <w:r>
        <w:rPr>
          <w:rFonts w:eastAsia="Arial" w:cs="Calibri" w:cstheme="minorHAnsi"/>
          <w:b/>
          <w:color w:val="215868"/>
          <w:sz w:val="28"/>
          <w:szCs w:val="28"/>
          <w14:shadow w14:blurRad="50800" w14:dist="38100" w14:dir="2700000" w14:sx="100000" w14:sy="100000" w14:kx="0" w14:ky="0" w14:algn="tl">
            <w14:srgbClr w14:val="000000">
              <w14:alpha w14:val="60000"/>
            </w14:srgbClr>
          </w14:shadow>
        </w:rPr>
        <w:t xml:space="preserve">En pratique </w:t>
      </w:r>
    </w:p>
    <w:p>
      <w:pPr>
        <w:pStyle w:val="Corpsdetexte"/>
        <w:spacing w:before="0" w:after="26"/>
        <w:rPr>
          <w:rFonts w:ascii="Calibri" w:hAnsi="Calibri" w:eastAsia="Calibri" w:cs="Calibri" w:cstheme="minorHAnsi"/>
          <w:color w:val="auto"/>
          <w:kern w:val="0"/>
          <w:sz w:val="22"/>
          <w:szCs w:val="22"/>
          <w:highlight w:val="white"/>
          <w:lang w:val="fr-BE" w:eastAsia="en-US" w:bidi="ar-SA"/>
        </w:rPr>
      </w:pPr>
      <w:r>
        <w:rPr>
          <w:rFonts w:eastAsia="Calibri" w:cs="Calibri" w:cstheme="minorHAnsi"/>
          <w:color w:val="auto"/>
          <w:kern w:val="0"/>
          <w:sz w:val="22"/>
          <w:szCs w:val="22"/>
          <w:shd w:fill="FFFFFF" w:val="clear"/>
          <w:lang w:val="fr-BE" w:eastAsia="en-US" w:bidi="ar-SA"/>
        </w:rPr>
        <w:t>Date :20 Mai 2021, de 9h30 à 15h30</w:t>
      </w:r>
    </w:p>
    <w:p>
      <w:pPr>
        <w:pStyle w:val="Corpsdetexte"/>
        <w:spacing w:before="0" w:after="26"/>
        <w:rPr>
          <w:rFonts w:ascii="Calibri" w:hAnsi="Calibri" w:eastAsia="Calibri" w:cs="Calibri" w:cstheme="minorHAnsi"/>
          <w:color w:val="auto"/>
          <w:kern w:val="0"/>
          <w:sz w:val="22"/>
          <w:szCs w:val="22"/>
          <w:highlight w:val="white"/>
          <w:lang w:val="fr-BE" w:eastAsia="en-US" w:bidi="ar-SA"/>
        </w:rPr>
      </w:pPr>
      <w:r>
        <w:rPr>
          <w:rFonts w:eastAsia="Calibri" w:cs="Calibri" w:cstheme="minorHAnsi"/>
          <w:color w:val="auto"/>
          <w:kern w:val="0"/>
          <w:sz w:val="22"/>
          <w:szCs w:val="22"/>
          <w:shd w:fill="FFFFFF" w:val="clear"/>
          <w:lang w:val="fr-BE" w:eastAsia="en-US" w:bidi="ar-SA"/>
        </w:rPr>
        <w:t>Adresse :  En visio conférence en fonction de l'évolution de la situation sanitaire</w:t>
      </w:r>
    </w:p>
    <w:p>
      <w:pPr>
        <w:pStyle w:val="Corpsdetexte"/>
        <w:spacing w:before="0" w:after="26"/>
        <w:rPr/>
      </w:pPr>
      <w:r>
        <w:rPr>
          <w:rFonts w:eastAsia="Calibri" w:cs="Calibri" w:cstheme="minorHAnsi"/>
          <w:color w:val="auto"/>
          <w:kern w:val="0"/>
          <w:sz w:val="22"/>
          <w:szCs w:val="22"/>
          <w:shd w:fill="FFFFFF" w:val="clear"/>
          <w:lang w:val="fr-BE" w:eastAsia="en-US" w:bidi="ar-SA"/>
        </w:rPr>
        <w:t xml:space="preserve">Vous êtes financés par les fonds APEF   Inscription en ligne  </w:t>
      </w:r>
      <w:hyperlink r:id="rId3">
        <w:r>
          <w:rPr>
            <w:rStyle w:val="LienInternet"/>
            <w:rFonts w:eastAsia="Calibri" w:cs="Calibri" w:cstheme="minorHAnsi"/>
            <w:color w:val="auto"/>
            <w:kern w:val="0"/>
            <w:sz w:val="22"/>
            <w:szCs w:val="22"/>
            <w:highlight w:val="white"/>
            <w:lang w:val="fr-BE" w:eastAsia="en-US" w:bidi="ar-SA"/>
          </w:rPr>
          <w:t>https://www.apefasbl.org/catalogueformaction</w:t>
        </w:r>
      </w:hyperlink>
    </w:p>
    <w:p>
      <w:pPr>
        <w:pStyle w:val="Corpsdetexte"/>
        <w:spacing w:before="0" w:after="26"/>
        <w:rPr/>
      </w:pPr>
      <w:r>
        <w:rPr>
          <w:rFonts w:eastAsia="Calibri" w:cs="Calibri" w:cstheme="minorHAnsi"/>
          <w:color w:val="auto"/>
          <w:kern w:val="0"/>
          <w:sz w:val="22"/>
          <w:szCs w:val="22"/>
          <w:shd w:fill="FFFFFF" w:val="clear"/>
          <w:lang w:val="fr-BE" w:eastAsia="en-US" w:bidi="ar-SA"/>
        </w:rPr>
        <w:t xml:space="preserve">Vous êtes financés par les fonds  FeBi   Inscription en ligne  </w:t>
      </w:r>
      <w:hyperlink r:id="rId4">
        <w:r>
          <w:rPr>
            <w:rStyle w:val="LienInternet"/>
            <w:rFonts w:eastAsia="Calibri" w:cs="Calibri" w:cstheme="minorHAnsi"/>
            <w:color w:val="auto"/>
            <w:kern w:val="0"/>
            <w:sz w:val="22"/>
            <w:szCs w:val="22"/>
            <w:highlight w:val="white"/>
            <w:lang w:val="fr-BE" w:eastAsia="en-US" w:bidi="ar-SA"/>
          </w:rPr>
          <w:t>https://www.fe-bi.org/catalogueformaction</w:t>
        </w:r>
      </w:hyperlink>
      <w:r>
        <w:rPr>
          <w:rFonts w:eastAsia="Calibri" w:cs="Calibri" w:cstheme="minorHAnsi"/>
          <w:color w:val="auto"/>
          <w:kern w:val="0"/>
          <w:sz w:val="22"/>
          <w:szCs w:val="22"/>
          <w:shd w:fill="FFFFFF" w:val="clear"/>
          <w:lang w:val="fr-BE" w:eastAsia="en-US" w:bidi="ar-SA"/>
        </w:rPr>
        <w:br/>
        <w:t>Ou 95 € TTC Inscription en ligne :https://www.formationsrepere.be/sinscrire/</w:t>
      </w:r>
    </w:p>
    <w:p>
      <w:pPr>
        <w:pStyle w:val="Normal"/>
        <w:spacing w:before="0" w:after="0"/>
        <w:jc w:val="both"/>
        <w:rPr>
          <w:rFonts w:eastAsia="Arial" w:cs="Calibri" w:cstheme="minorHAnsi"/>
          <w:b w:val="false"/>
          <w:b w:val="false"/>
          <w:bCs w:val="false"/>
          <w:color w:val="000000"/>
          <w:sz w:val="22"/>
          <w:szCs w:val="22"/>
          <w14:shadow w14:blurRad="50800" w14:dist="38100" w14:dir="2700000" w14:sx="100000" w14:sy="100000" w14:kx="0" w14:ky="0" w14:algn="tl">
            <w14:srgbClr w14:val="000000">
              <w14:alpha w14:val="60000"/>
            </w14:srgbClr>
          </w14:shadow>
        </w:rPr>
      </w:pPr>
      <w:r>
        <w:rPr>
          <w:rFonts w:eastAsia="Arial" w:cs="Calibri" w:cstheme="minorHAnsi"/>
          <w:b w:val="false"/>
          <w:bCs w:val="false"/>
          <w:color w:val="000000"/>
          <w:sz w:val="22"/>
          <w:szCs w:val="22"/>
          <w14:shadow w14:blurRad="50800" w14:dist="38100" w14:dir="2700000" w14:sx="100000" w14:sy="100000" w14:kx="0" w14:ky="0" w14:algn="tl">
            <w14:srgbClr w14:val="000000">
              <w14:alpha w14:val="60000"/>
            </w14:srgbClr>
          </w14:shadow>
        </w:rPr>
      </w:r>
    </w:p>
    <w:p>
      <w:pPr>
        <w:pStyle w:val="Normal"/>
        <w:spacing w:lineRule="auto" w:line="276" w:before="0" w:after="0"/>
        <w:rPr/>
      </w:pPr>
      <w:r>
        <w:rPr/>
      </w:r>
    </w:p>
    <w:sectPr>
      <w:headerReference w:type="default" r:id="rId5"/>
      <w:footerReference w:type="default" r:id="rId6"/>
      <w:type w:val="nextPage"/>
      <w:pgSz w:w="11906" w:h="16838"/>
      <w:pgMar w:left="1077" w:right="1077" w:header="709" w:top="1134" w:footer="73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223" w:before="0" w:after="160"/>
      <w:ind w:left="20" w:hanging="0"/>
      <w:jc w:val="center"/>
      <w:rPr/>
    </w:pPr>
    <w:r>
      <w:rPr>
        <w:color w:val="808080"/>
        <w:sz w:val="20"/>
      </w:rPr>
      <w:t xml:space="preserve">Formations Repère – </w:t>
    </w:r>
    <w:hyperlink r:id="rId1">
      <w:r>
        <w:rPr>
          <w:rStyle w:val="ListLabel10"/>
          <w:color w:val="808080"/>
          <w:sz w:val="20"/>
        </w:rPr>
        <w:t xml:space="preserve">www.formationsrepere.be </w:t>
      </w:r>
    </w:hyperlink>
    <w:r>
      <w:rPr>
        <w:color w:val="808080"/>
        <w:sz w:val="20"/>
      </w:rPr>
      <w:t xml:space="preserve">– </w:t>
    </w:r>
    <w:hyperlink r:id="rId2">
      <w:r>
        <w:rPr>
          <w:rStyle w:val="ListLabel10"/>
          <w:color w:val="808080"/>
          <w:sz w:val="20"/>
          <w:u w:val="single" w:color="808080"/>
        </w:rPr>
        <w:t>info@formationsrepere.be</w:t>
      </w:r>
      <w:r>
        <w:rPr>
          <w:rStyle w:val="ListLabel10"/>
          <w:color w:val="808080"/>
          <w:sz w:val="20"/>
        </w:rPr>
        <w:t xml:space="preserve"> </w:t>
      </w:r>
    </w:hyperlink>
    <w:r>
      <w:rPr>
        <w:color w:val="808080"/>
        <w:sz w:val="20"/>
      </w:rPr>
      <w:t>– T 0498/680207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paragraph" w:styleId="Titre3">
    <w:name w:val="Heading 3"/>
    <w:basedOn w:val="Titre"/>
    <w:next w:val="Corpsdetexte"/>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6585a"/>
    <w:rPr>
      <w:color w:val="0000FF"/>
      <w:u w:val="single"/>
    </w:rPr>
  </w:style>
  <w:style w:type="character" w:styleId="EntteCar" w:customStyle="1">
    <w:name w:val="En-tête Car"/>
    <w:basedOn w:val="DefaultParagraphFont"/>
    <w:link w:val="En-tte"/>
    <w:uiPriority w:val="99"/>
    <w:qFormat/>
    <w:rsid w:val="008e4203"/>
    <w:rPr/>
  </w:style>
  <w:style w:type="character" w:styleId="PieddepageCar" w:customStyle="1">
    <w:name w:val="Pied de page Car"/>
    <w:basedOn w:val="DefaultParagraphFont"/>
    <w:link w:val="Pieddepage"/>
    <w:uiPriority w:val="99"/>
    <w:qFormat/>
    <w:rsid w:val="008e4203"/>
    <w:rPr/>
  </w:style>
  <w:style w:type="character" w:styleId="CorpsdetexteCar" w:customStyle="1">
    <w:name w:val="Corps de texte Car"/>
    <w:basedOn w:val="DefaultParagraphFont"/>
    <w:link w:val="Corpsdetexte"/>
    <w:qFormat/>
    <w:rsid w:val="0096765d"/>
    <w:rPr>
      <w:rFonts w:ascii="Calibri" w:hAnsi="Calibri" w:eastAsia="Calibri" w:cs="Arial"/>
      <w:sz w:val="20"/>
      <w:szCs w:val="20"/>
      <w:lang w:eastAsia="fr-B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96765d"/>
    <w:pPr>
      <w:spacing w:lineRule="auto" w:line="276" w:before="0" w:after="140"/>
    </w:pPr>
    <w:rPr>
      <w:rFonts w:ascii="Calibri" w:hAnsi="Calibri" w:eastAsia="Calibri" w:cs="Arial"/>
      <w:sz w:val="20"/>
      <w:szCs w:val="20"/>
      <w:lang w:eastAsia="fr-BE"/>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511b9"/>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8e4203"/>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e4203"/>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c12014"/>
    <w:pPr>
      <w:spacing w:lineRule="auto" w:line="240"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074a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pefasbl.org/catalogueformaction" TargetMode="External"/><Relationship Id="rId4" Type="http://schemas.openxmlformats.org/officeDocument/2006/relationships/hyperlink" Target="https://www.fe-bi.org/catalogueformaction"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ormationsrepere.be/" TargetMode="External"/><Relationship Id="rId2" Type="http://schemas.openxmlformats.org/officeDocument/2006/relationships/hyperlink" Target="mailto:info@formationsrepere.be"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LibreOffice/6.3.3.2$Windows_X86_64 LibreOffice_project/a64200df03143b798afd1ec74a12ab50359878ed</Application>
  <Pages>1</Pages>
  <Words>235</Words>
  <Characters>1298</Characters>
  <CharactersWithSpaces>1530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2020-11-08T17:23:00Z</dcterms:created>
  <dc:creator>Anne Discart</dc:creator>
  <dc:description/>
  <dc:language>fr-BE</dc:language>
  <cp:lastModifiedBy/>
  <cp:lastPrinted>2020-06-10T21:01:00Z</cp:lastPrinted>
  <dcterms:modified xsi:type="dcterms:W3CDTF">2021-04-01T23:34:46Z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