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9"/>
        <w:gridCol w:w="7920"/>
      </w:tblGrid>
      <w:tr>
        <w:trPr/>
        <w:tc>
          <w:tcPr>
            <w:tcW w:w="2139" w:type="dxa"/>
            <w:tcBorders>
              <w:top w:val="outset" w:sz="8" w:space="0" w:color="000000"/>
              <w:left w:val="outset" w:sz="8" w:space="0" w:color="000000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6" w:hanging="0"/>
              <w:jc w:val="both"/>
              <w:rPr>
                <w:color w:val="215868"/>
              </w:rPr>
            </w:pPr>
            <w:r>
              <w:rPr/>
              <w:drawing>
                <wp:inline distT="0" distB="0" distL="0" distR="0">
                  <wp:extent cx="1097280" cy="1045845"/>
                  <wp:effectExtent l="0" t="0" r="0" b="0"/>
                  <wp:docPr id="1" name="Image 10" descr="E:\Profil\Mes documents\1 ANNE\SMART CLIENTS\3 Actifs\Formations Repère\6_CONTENUS\LOGO\Logo_HD_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0" descr="E:\Profil\Mes documents\1 ANNE\SMART CLIENTS\3 Actifs\Formations Repère\6_CONTENUS\LOGO\Logo_HD_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outset" w:sz="8" w:space="0" w:color="000000"/>
              <w:left w:val="nil"/>
              <w:bottom w:val="nil"/>
              <w:right w:val="outset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Arial" w:cs="Calibri" w:cstheme="minorHAnsi"/>
                <w:b/>
                <w:b/>
                <w:color w:val="215868"/>
                <w:sz w:val="36"/>
                <w:szCs w:val="36"/>
              </w:rPr>
            </w:pPr>
            <w:r>
              <w:rPr>
                <w:rFonts w:eastAsia="Arial" w:cs="Calibri" w:cstheme="minorHAnsi"/>
                <w:b/>
                <w:color w:val="215868"/>
                <w:sz w:val="36"/>
                <w:szCs w:val="36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eastAsia="Arial" w:cs="Calibri" w:cstheme="minorHAnsi"/>
                <w:b/>
                <w:b/>
                <w:color w:val="215868"/>
                <w:sz w:val="36"/>
                <w:szCs w:val="36"/>
              </w:rPr>
            </w:pPr>
            <w:r>
              <w:rPr>
                <w:rFonts w:eastAsia="Arial" w:cs="Calibri" w:cstheme="minorHAnsi"/>
                <w:b/>
                <w:color w:val="215868"/>
                <w:sz w:val="36"/>
                <w:szCs w:val="36"/>
              </w:rPr>
              <w:t>Détecter les risques de maltraitance</w:t>
            </w:r>
          </w:p>
          <w:p>
            <w:pPr>
              <w:pStyle w:val="Normal"/>
              <w:tabs>
                <w:tab w:val="clear" w:pos="708"/>
                <w:tab w:val="left" w:pos="4638" w:leader="none"/>
              </w:tabs>
              <w:rPr/>
            </w:pPr>
            <w:r>
              <w:rPr>
                <w:rFonts w:eastAsia="Arial" w:cs="Calibri" w:cstheme="minorHAnsi"/>
                <w:b/>
                <w:color w:val="215868"/>
                <w:sz w:val="36"/>
                <w:szCs w:val="36"/>
              </w:rPr>
              <w:t xml:space="preserve">      </w:t>
            </w:r>
            <w:r>
              <w:rPr>
                <w:rFonts w:eastAsia="Arial" w:cs="Calibri" w:cstheme="minorHAnsi"/>
                <w:b/>
                <w:color w:val="215868"/>
                <w:sz w:val="36"/>
                <w:szCs w:val="36"/>
              </w:rPr>
              <w:t>envers les personnes en situation de handicap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Arial" w:cs="Calibri" w:cstheme="minorHAnsi"/>
                <w:b/>
                <w:b/>
                <w:color w:val="215868"/>
                <w:sz w:val="36"/>
                <w:szCs w:val="36"/>
              </w:rPr>
            </w:pPr>
            <w:r>
              <w:rPr>
                <w:rFonts w:eastAsia="Arial" w:cs="Calibri" w:cstheme="minorHAnsi"/>
                <w:b/>
                <w:color w:val="215868"/>
                <w:sz w:val="36"/>
                <w:szCs w:val="36"/>
              </w:rPr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>
          <w:rFonts w:cs="Calibri"/>
          <w:color w:val="002060"/>
          <w:sz w:val="22"/>
        </w:rPr>
      </w:pPr>
      <w:r>
        <w:rPr>
          <w:rFonts w:cs="Calibri"/>
          <w:i/>
          <w:iCs/>
          <w:color w:val="002060"/>
          <w:sz w:val="22"/>
        </w:rPr>
        <w:t>Formation proposée dans le catalogue AVIQ  de  t</w:t>
      </w:r>
      <w:r>
        <w:rPr>
          <w:rFonts w:cs="Calibri"/>
          <w:b w:val="false"/>
          <w:bCs w:val="false"/>
          <w:i/>
          <w:iCs/>
          <w:color w:val="002060"/>
          <w:sz w:val="22"/>
          <w:szCs w:val="24"/>
        </w:rPr>
        <w:t xml:space="preserve">hématiques transversales </w:t>
      </w:r>
      <w:r>
        <w:rPr>
          <w:rFonts w:cs="Calibri"/>
          <w:i/>
          <w:iCs/>
          <w:color w:val="002060"/>
          <w:sz w:val="22"/>
          <w:szCs w:val="24"/>
        </w:rPr>
        <w:t xml:space="preserve"> à destination du personnel des services d’accueil et d’hébergement, des services d’aide en milieu de vie et des initiatives spécifiques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Calibri" w:cstheme="minorHAnsi"/>
          <w:b/>
          <w:color w:val="215868"/>
          <w:sz w:val="28"/>
          <w:szCs w:val="28"/>
        </w:rPr>
        <w:t>Public cible</w:t>
      </w:r>
    </w:p>
    <w:p>
      <w:pPr>
        <w:pStyle w:val="ListParagraph"/>
        <w:spacing w:lineRule="auto" w:line="276" w:before="0" w:after="200"/>
        <w:ind w:left="360" w:hanging="360"/>
        <w:contextualSpacing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Tout intervenant travaillant auprès de personnes en situation de handicap.</w:t>
      </w:r>
    </w:p>
    <w:p>
      <w:pPr>
        <w:pStyle w:val="ListParagraph"/>
        <w:spacing w:lineRule="auto" w:line="276" w:before="0" w:after="200"/>
        <w:ind w:left="360" w:hanging="360"/>
        <w:contextualSpacing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Tout responsable souhaitant amener ses équipes à re(considérer) cette approche.</w:t>
      </w:r>
    </w:p>
    <w:p>
      <w:pPr>
        <w:pStyle w:val="Normal"/>
        <w:jc w:val="both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>Objectifs 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Se recentrer sur l’importance de comprendre que tous les humains ont les mêmes besoins fondamentaux malgré les déficiences physiques et/ou mentales.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Relever la perception des participants sur la maltraitance, pensent-ils parfois être maltraitants ?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Prendre conscience que des gestes et attitudes qui semblent anodines peuvent être des situations de maltraitance 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Points d’attention sur les facteurs de risque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Concrétiser des situations de négligences actives et passives vues, vécues au sein des services.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Prise de conscience de l’existence de faits souvent minimisés mais toujours intentionnels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Prise de conscience de la nécessité de se préserver en tant qu’intervenants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2060"/>
        </w:rPr>
      </w:pPr>
      <w:r>
        <w:rPr>
          <w:color w:val="002060"/>
        </w:rPr>
        <w:t xml:space="preserve">Analyse des mécanismes de défense et résistances face à des situations de maltraitance.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eastAsia="Arial" w:cs="Calibri" w:cstheme="minorHAnsi"/>
          <w:b/>
          <w:b/>
          <w:color w:val="002060"/>
          <w:sz w:val="28"/>
          <w:szCs w:val="28"/>
        </w:rPr>
      </w:pPr>
      <w:r>
        <w:rPr>
          <w:color w:val="002060"/>
        </w:rPr>
        <w:t>Engagement et mise en place d’actions concrètes de prévention et changement dans le milieu de travail.</w:t>
      </w:r>
    </w:p>
    <w:p>
      <w:pPr>
        <w:pStyle w:val="Normal"/>
        <w:jc w:val="both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 xml:space="preserve">Contenu  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 xml:space="preserve">    </w:t>
      </w:r>
      <w:r>
        <w:rPr>
          <w:rFonts w:eastAsia="Arial" w:cs="Calibri" w:cstheme="minorHAnsi"/>
          <w:bCs/>
          <w:color w:val="215868"/>
          <w:sz w:val="24"/>
          <w:szCs w:val="24"/>
        </w:rPr>
        <w:t xml:space="preserve">• </w:t>
      </w:r>
      <w:r>
        <w:rPr>
          <w:color w:val="002060"/>
        </w:rPr>
        <w:t>Jour 1 :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Introduction, réflexions pour soignants/accompagnants dont le « prendre soin » est en évolution.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La maltraitance : définitions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Rappel des besoins de la pyramide de Maslow adapté aux personnes en situation de handicap.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Différents types de maltraitances :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    ▪ </w:t>
      </w:r>
      <w:r>
        <w:rPr>
          <w:color w:val="002060"/>
        </w:rPr>
        <w:t>Les négligences (physiques, psychiques, sociales) : actives et passives (par omission)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    ▪ </w:t>
      </w:r>
      <w:r>
        <w:rPr>
          <w:color w:val="002060"/>
        </w:rPr>
        <w:t>Les abus : physiques, psychologiques, sexuels, financiers, social…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Les répercussions de la maltraitance.</w:t>
      </w:r>
    </w:p>
    <w:p>
      <w:pPr>
        <w:pStyle w:val="Normal"/>
        <w:jc w:val="both"/>
        <w:rPr/>
      </w:pPr>
      <w:r>
        <w:rPr>
          <w:rFonts w:eastAsia="Arial" w:cs="Calibri" w:cstheme="minorHAnsi"/>
          <w:bCs/>
          <w:color w:val="215868"/>
          <w:sz w:val="24"/>
          <w:szCs w:val="24"/>
        </w:rPr>
        <w:t xml:space="preserve">    • </w:t>
      </w:r>
      <w:r>
        <w:rPr>
          <w:color w:val="002060"/>
        </w:rPr>
        <w:t>Jour 2 :</w:t>
      </w:r>
    </w:p>
    <w:p>
      <w:pPr>
        <w:pStyle w:val="Normal"/>
        <w:spacing w:before="0" w:after="0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Les facteurs de risques :</w:t>
      </w:r>
    </w:p>
    <w:p>
      <w:pPr>
        <w:pStyle w:val="Normal"/>
        <w:spacing w:before="0" w:after="0"/>
        <w:jc w:val="both"/>
        <w:rPr>
          <w:color w:val="002060"/>
        </w:rPr>
      </w:pPr>
      <w:r>
        <w:rPr>
          <w:color w:val="002060"/>
        </w:rPr>
        <w:t xml:space="preserve">            ▪ </w:t>
      </w:r>
      <w:r>
        <w:rPr>
          <w:color w:val="002060"/>
        </w:rPr>
        <w:t>Liés à la victime : les dépendances physiques ou psychologiques, les troubles du caractère, l’incontinence, les vomissements…</w:t>
      </w:r>
    </w:p>
    <w:p>
      <w:pPr>
        <w:pStyle w:val="Normal"/>
        <w:spacing w:before="0" w:after="0"/>
        <w:jc w:val="both"/>
        <w:rPr>
          <w:color w:val="002060"/>
        </w:rPr>
      </w:pPr>
      <w:r>
        <w:rPr>
          <w:color w:val="002060"/>
        </w:rPr>
        <w:t xml:space="preserve">            ▪ </w:t>
      </w:r>
      <w:r>
        <w:rPr>
          <w:color w:val="002060"/>
        </w:rPr>
        <w:t>Liés à l’auteur : la fragilité psychologique, la surcharge morale et affective, l’alcoolisme et la toxicomanie, les problèmes sociaux ou financier…</w:t>
      </w:r>
    </w:p>
    <w:p>
      <w:pPr>
        <w:pStyle w:val="Normal"/>
        <w:spacing w:before="0" w:after="0"/>
        <w:jc w:val="both"/>
        <w:rPr>
          <w:color w:val="002060"/>
        </w:rPr>
      </w:pPr>
      <w:r>
        <w:rPr>
          <w:color w:val="002060"/>
        </w:rPr>
        <w:t xml:space="preserve">            ▪ </w:t>
      </w:r>
      <w:r>
        <w:rPr>
          <w:color w:val="002060"/>
        </w:rPr>
        <w:t>Liés au personnel : les particularités de travail, la confrontation continuelle à la détresse, la douleur et parfois à la mort, la confrontation à l’image du risque de sa propre dépendance, le manque de considération pour les métiers d’aide aux personnes en situation de handicap</w:t>
      </w:r>
    </w:p>
    <w:p>
      <w:pPr>
        <w:pStyle w:val="Normal"/>
        <w:spacing w:before="0" w:after="0"/>
        <w:jc w:val="both"/>
        <w:rPr>
          <w:color w:val="002060"/>
        </w:rPr>
      </w:pPr>
      <w:r>
        <w:rPr>
          <w:color w:val="002060"/>
        </w:rPr>
        <w:t xml:space="preserve">            ▪ </w:t>
      </w:r>
      <w:r>
        <w:rPr>
          <w:color w:val="002060"/>
        </w:rPr>
        <w:t>Liés à l’environnement : établissement malsain et peu accueillant, locaux non adaptés, sanitaires non fonctionnels cohabitants dans un espace réduit…</w:t>
      </w:r>
    </w:p>
    <w:p>
      <w:pPr>
        <w:pStyle w:val="Normal"/>
        <w:spacing w:before="0" w:after="0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Le silence des victimes ou des témoins : crainte des conflits et de représailles, culpabilisation de la victime, confidentialité imposée</w:t>
      </w:r>
    </w:p>
    <w:p>
      <w:pPr>
        <w:pStyle w:val="Normal"/>
        <w:jc w:val="both"/>
        <w:rPr>
          <w:color w:val="002060"/>
        </w:rPr>
      </w:pPr>
      <w:r>
        <w:rPr>
          <w:color w:val="002060"/>
        </w:rPr>
      </w:r>
    </w:p>
    <w:p>
      <w:pPr>
        <w:pStyle w:val="Normal"/>
        <w:jc w:val="both"/>
        <w:rPr>
          <w:color w:val="002060"/>
        </w:rPr>
      </w:pPr>
      <w:r>
        <w:rPr>
          <w:color w:val="002060"/>
        </w:rPr>
        <w:t xml:space="preserve">    • </w:t>
      </w:r>
      <w:r>
        <w:rPr>
          <w:color w:val="002060"/>
        </w:rPr>
        <w:t>Jour 3 :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La prévention : Tous agents de prévention de la maltraitance des personnes en situation de handicap : pour chaque facteur de risque décrit, il existe une action préventive possible.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Toutes les actions préventives liées à l’environnement, aux résidents, aux membres du personnel.</w:t>
      </w:r>
    </w:p>
    <w:p>
      <w:pPr>
        <w:pStyle w:val="Normal"/>
        <w:spacing w:before="0" w:after="46"/>
        <w:jc w:val="both"/>
        <w:rPr>
          <w:color w:val="002060"/>
        </w:rPr>
      </w:pPr>
      <w:r>
        <w:rPr>
          <w:color w:val="002060"/>
        </w:rPr>
        <w:t xml:space="preserve">        ◦ </w:t>
      </w:r>
      <w:r>
        <w:rPr>
          <w:color w:val="002060"/>
        </w:rPr>
        <w:t>Tour de cercle final : ce que je vais mettre en place, une nouvelle manière de me recharger…</w:t>
      </w:r>
    </w:p>
    <w:p>
      <w:pPr>
        <w:pStyle w:val="Normal"/>
        <w:spacing w:lineRule="auto" w:line="276" w:before="0" w:after="0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</w:r>
    </w:p>
    <w:p>
      <w:pPr>
        <w:pStyle w:val="Normal"/>
        <w:spacing w:lineRule="auto" w:line="276" w:before="0" w:after="0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>Méthodologie</w:t>
      </w:r>
    </w:p>
    <w:p>
      <w:pPr>
        <w:pStyle w:val="Western"/>
        <w:spacing w:lineRule="auto" w:line="259" w:beforeAutospacing="0" w:before="142" w:after="0"/>
        <w:ind w:left="227" w:right="221" w:hanging="0"/>
        <w:rPr>
          <w:rFonts w:ascii="Calibri" w:hAnsi="Calibri" w:eastAsia="Calibri" w:cs="" w:asciiTheme="minorHAnsi" w:cstheme="minorBidi" w:eastAsiaTheme="minorHAnsi" w:hAnsiTheme="minorHAnsi"/>
          <w:color w:val="002060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2060"/>
          <w:sz w:val="22"/>
          <w:szCs w:val="22"/>
          <w:lang w:eastAsia="en-US"/>
        </w:rPr>
        <w:t>Méthodologie interactive et participative centrée sur la réflexion autour de pratiques communes directement applicables. Supports théoriques, pédagogiques et outils d’animation adapté au public, co-construction d’outils directement applicables sur le terrain. Analyse de situation concrètes et proposition de pistes d’intervention.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0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>Formateur(s)</w:t>
      </w:r>
    </w:p>
    <w:p>
      <w:pPr>
        <w:pStyle w:val="ListParagraph"/>
        <w:spacing w:lineRule="auto" w:line="276" w:before="0" w:after="200"/>
        <w:ind w:left="360" w:hanging="360"/>
        <w:contextualSpacing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Omylinski Karin.</w:t>
      </w:r>
    </w:p>
    <w:p>
      <w:pPr>
        <w:pStyle w:val="ListParagraph"/>
        <w:spacing w:lineRule="auto" w:line="276" w:before="0" w:after="200"/>
        <w:ind w:left="360" w:hanging="360"/>
        <w:contextualSpacing/>
        <w:jc w:val="both"/>
        <w:rPr>
          <w:rFonts w:cs="Calibri"/>
          <w:color w:val="002060"/>
          <w:lang w:val="fr-FR"/>
        </w:rPr>
      </w:pPr>
      <w:r>
        <w:rPr>
          <w:rFonts w:cs="Calibri"/>
          <w:color w:val="002060"/>
          <w:lang w:val="fr-FR"/>
        </w:rPr>
        <w:t>Educatrice spécialisée -référente pour la démence. La communication, la qualité relationnelle,</w:t>
      </w:r>
    </w:p>
    <w:p>
      <w:pPr>
        <w:pStyle w:val="ListParagraph"/>
        <w:spacing w:lineRule="auto" w:line="276" w:before="0" w:after="200"/>
        <w:ind w:left="360" w:hanging="360"/>
        <w:contextualSpacing/>
        <w:jc w:val="both"/>
        <w:rPr>
          <w:rFonts w:cs="Calibri"/>
          <w:color w:val="002060"/>
          <w:lang w:val="fr-FR"/>
        </w:rPr>
      </w:pPr>
      <w:r>
        <w:rPr>
          <w:rFonts w:cs="Calibri"/>
          <w:color w:val="002060"/>
          <w:lang w:val="fr-FR"/>
        </w:rPr>
        <w:t xml:space="preserve"> </w:t>
      </w:r>
      <w:r>
        <w:rPr>
          <w:rFonts w:cs="Calibri"/>
          <w:color w:val="002060"/>
          <w:lang w:val="fr-FR"/>
        </w:rPr>
        <w:t>la bientraitance, l’approche non-médicamenteuse, accompagner le changement sont, entre autres,</w:t>
      </w:r>
    </w:p>
    <w:p>
      <w:pPr>
        <w:pStyle w:val="ListParagraph"/>
        <w:spacing w:lineRule="auto" w:line="276" w:before="0" w:after="200"/>
        <w:ind w:left="360" w:hanging="360"/>
        <w:contextualSpacing/>
        <w:jc w:val="both"/>
        <w:rPr>
          <w:rFonts w:cs="Calibri"/>
          <w:color w:val="002060"/>
          <w:lang w:val="fr-FR"/>
        </w:rPr>
      </w:pPr>
      <w:r>
        <w:rPr>
          <w:rFonts w:cs="Calibri"/>
          <w:color w:val="002060"/>
          <w:lang w:val="fr-FR"/>
        </w:rPr>
        <w:t xml:space="preserve"> </w:t>
      </w:r>
      <w:r>
        <w:rPr>
          <w:rFonts w:cs="Calibri"/>
          <w:color w:val="002060"/>
          <w:lang w:val="fr-FR"/>
        </w:rPr>
        <w:t>des thématiques qu’elle a déjà abordées en tant que formatrice</w:t>
      </w:r>
    </w:p>
    <w:p>
      <w:pPr>
        <w:pStyle w:val="Normal"/>
        <w:spacing w:lineRule="auto" w:line="276" w:before="0" w:after="0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>Où :</w:t>
      </w:r>
    </w:p>
    <w:p>
      <w:pPr>
        <w:pStyle w:val="Normal"/>
        <w:jc w:val="both"/>
        <w:rPr/>
      </w:pPr>
      <w:r>
        <w:rPr/>
        <w:t>Centre de Formations – Formations Repère, 8 rue du Bosquet, 1400 Nivelles</w:t>
      </w:r>
    </w:p>
    <w:p>
      <w:pPr>
        <w:pStyle w:val="Normal"/>
        <w:spacing w:lineRule="auto" w:line="276" w:before="0" w:after="0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>Quand</w:t>
      </w:r>
    </w:p>
    <w:p>
      <w:pPr>
        <w:pStyle w:val="Normal"/>
        <w:jc w:val="both"/>
        <w:rPr/>
      </w:pPr>
      <w:r>
        <w:rPr/>
        <w:t>En trois  journées  les lundis  04 ,11et 18 octobre 2021  de 9h30 à 16h30</w:t>
      </w:r>
    </w:p>
    <w:p>
      <w:pPr>
        <w:pStyle w:val="Normal"/>
        <w:jc w:val="both"/>
        <w:rPr/>
      </w:pPr>
      <w:r>
        <w:rPr/>
        <w:t xml:space="preserve">Ou les mardis 13 , 23 et 30 novembre 2021 </w:t>
      </w:r>
    </w:p>
    <w:p>
      <w:pPr>
        <w:pStyle w:val="Normal"/>
        <w:spacing w:lineRule="auto" w:line="276" w:before="0" w:after="0"/>
        <w:rPr>
          <w:rFonts w:eastAsia="Arial" w:cs="Calibri" w:cstheme="minorHAnsi"/>
          <w:b/>
          <w:b/>
          <w:color w:val="215868"/>
          <w:sz w:val="28"/>
          <w:szCs w:val="28"/>
        </w:rPr>
      </w:pPr>
      <w:r>
        <w:rPr>
          <w:rFonts w:eastAsia="Arial" w:cs="Calibri" w:cstheme="minorHAnsi"/>
          <w:b/>
          <w:color w:val="215868"/>
          <w:sz w:val="28"/>
          <w:szCs w:val="28"/>
        </w:rPr>
        <w:t xml:space="preserve">Prix et  inscription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À L’AVIQ par mail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à l’une des adresses </w:t>
      </w:r>
      <w:r>
        <w:rPr>
          <w:sz w:val="20"/>
          <w:szCs w:val="20"/>
        </w:rPr>
        <w:t xml:space="preserve">suivantes </w:t>
      </w:r>
      <w:hyperlink r:id="rId3">
        <w:r>
          <w:rPr>
            <w:rStyle w:val="LienInternet"/>
            <w:b/>
            <w:bCs/>
            <w:sz w:val="20"/>
            <w:szCs w:val="20"/>
          </w:rPr>
          <w:t>cathy.magabe@aviq.be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ou </w:t>
      </w:r>
      <w:hyperlink r:id="rId4">
        <w:r>
          <w:rPr>
            <w:rStyle w:val="LienInternet"/>
            <w:b/>
            <w:bCs/>
            <w:sz w:val="20"/>
            <w:szCs w:val="20"/>
          </w:rPr>
          <w:t>jerome.ducarme@aviq.be</w:t>
        </w:r>
      </w:hyperlink>
      <w:r>
        <w:rPr>
          <w:sz w:val="20"/>
          <w:szCs w:val="20"/>
        </w:rPr>
        <w:t xml:space="preserve">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Le formulaire d’inscription est également disponible sur le site Internet de l’Agence, à l’adresse suivante : </w:t>
      </w:r>
      <w:hyperlink r:id="rId5">
        <w:r>
          <w:rPr>
            <w:rStyle w:val="LienInternet"/>
            <w:sz w:val="20"/>
            <w:szCs w:val="20"/>
          </w:rPr>
          <w:t>https://www.aviq.be/handicap/professionnels/index.html#formation.</w:t>
        </w:r>
      </w:hyperlink>
    </w:p>
    <w:p>
      <w:pPr>
        <w:pStyle w:val="Normal"/>
        <w:spacing w:before="0" w:after="160"/>
        <w:jc w:val="both"/>
        <w:rPr/>
      </w:pPr>
      <w:r>
        <w:rPr/>
        <w:t xml:space="preserve">Ou via le site de Formations Repère : 95 € /journées </w:t>
      </w:r>
    </w:p>
    <w:sectPr>
      <w:headerReference w:type="default" r:id="rId6"/>
      <w:footerReference w:type="default" r:id="rId7"/>
      <w:type w:val="nextPage"/>
      <w:pgSz w:w="11906" w:h="16838"/>
      <w:pgMar w:left="1077" w:right="1077" w:header="709" w:top="1134" w:footer="73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3" w:before="0" w:after="160"/>
      <w:ind w:left="20" w:hanging="0"/>
      <w:jc w:val="center"/>
      <w:rPr/>
    </w:pPr>
    <w:r>
      <w:rPr>
        <w:color w:val="808080"/>
        <w:sz w:val="20"/>
      </w:rPr>
      <w:t xml:space="preserve">Formations Repère – </w:t>
    </w:r>
    <w:hyperlink r:id="rId1">
      <w:r>
        <w:rPr>
          <w:rStyle w:val="ListLabel12"/>
          <w:color w:val="808080"/>
          <w:sz w:val="20"/>
        </w:rPr>
        <w:t xml:space="preserve">www.formationsrepere.be </w:t>
      </w:r>
    </w:hyperlink>
    <w:r>
      <w:rPr>
        <w:color w:val="808080"/>
        <w:sz w:val="20"/>
      </w:rPr>
      <w:t xml:space="preserve">– </w:t>
    </w:r>
    <w:hyperlink r:id="rId2">
      <w:r>
        <w:rPr>
          <w:rStyle w:val="ListLabel12"/>
          <w:color w:val="808080"/>
          <w:sz w:val="20"/>
          <w:u w:val="single" w:color="808080"/>
        </w:rPr>
        <w:t>info@formationsrepere.be</w:t>
      </w:r>
      <w:r>
        <w:rPr>
          <w:rStyle w:val="ListLabel12"/>
          <w:color w:val="808080"/>
          <w:sz w:val="20"/>
        </w:rPr>
        <w:t xml:space="preserve"> </w:t>
      </w:r>
    </w:hyperlink>
    <w:r>
      <w:rPr>
        <w:color w:val="808080"/>
        <w:sz w:val="20"/>
      </w:rPr>
      <w:t>– T 0498/680207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e34c7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uiPriority w:val="99"/>
    <w:qFormat/>
    <w:rsid w:val="008e420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4203"/>
    <w:rPr/>
  </w:style>
  <w:style w:type="character" w:styleId="CorpsdetexteCar" w:customStyle="1">
    <w:name w:val="Corps de texte Car"/>
    <w:basedOn w:val="DefaultParagraphFont"/>
    <w:link w:val="Corpsdetexte"/>
    <w:qFormat/>
    <w:rsid w:val="0096765d"/>
    <w:rPr>
      <w:rFonts w:ascii="Calibri" w:hAnsi="Calibri" w:eastAsia="Calibri" w:cs="Arial"/>
      <w:sz w:val="20"/>
      <w:szCs w:val="20"/>
      <w:lang w:eastAsia="fr-B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34c7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96765d"/>
    <w:pPr>
      <w:spacing w:lineRule="auto" w:line="276" w:before="0" w:after="140"/>
    </w:pPr>
    <w:rPr>
      <w:rFonts w:ascii="Calibri" w:hAnsi="Calibri" w:eastAsia="Calibri" w:cs="Arial"/>
      <w:sz w:val="20"/>
      <w:szCs w:val="20"/>
      <w:lang w:eastAsia="fr-BE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b511b9"/>
    <w:pPr>
      <w:spacing w:before="0" w:after="160"/>
      <w:ind w:left="720" w:hanging="0"/>
      <w:contextualSpacing/>
    </w:pPr>
    <w:rPr/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8e42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42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120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BE"/>
    </w:rPr>
  </w:style>
  <w:style w:type="paragraph" w:styleId="Standard" w:customStyle="1">
    <w:name w:val="Standard"/>
    <w:qFormat/>
    <w:rsid w:val="00b473d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BE" w:eastAsia="zh-CN" w:bidi="hi-IN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Calibri" w:hAnsi="Calibri" w:eastAsia="Symbol" w:cs="Calibri" w:asciiTheme="minorHAnsi" w:hAnsiTheme="minorHAnsi"/>
      <w:color w:val="auto"/>
      <w:kern w:val="0"/>
      <w:sz w:val="22"/>
      <w:szCs w:val="22"/>
      <w:lang w:val="fr-BE" w:eastAsia="en-US" w:bidi="ar-SA"/>
    </w:rPr>
  </w:style>
  <w:style w:type="paragraph" w:styleId="Western" w:customStyle="1">
    <w:name w:val="western"/>
    <w:basedOn w:val="Normal"/>
    <w:qFormat/>
    <w:rsid w:val="00b83d77"/>
    <w:pPr>
      <w:spacing w:lineRule="auto" w:line="240" w:beforeAutospacing="1" w:after="0"/>
    </w:pPr>
    <w:rPr>
      <w:rFonts w:ascii="Arial" w:hAnsi="Arial" w:eastAsia="Times New Roman" w:cs="Arial"/>
      <w:sz w:val="20"/>
      <w:szCs w:val="20"/>
      <w:lang w:eastAsia="fr-BE"/>
    </w:rPr>
  </w:style>
  <w:style w:type="paragraph" w:styleId="Default" w:customStyle="1">
    <w:name w:val="Default"/>
    <w:qFormat/>
    <w:rsid w:val="00d8291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fr-B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74a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athy.magabe@aviq.be%20" TargetMode="External"/><Relationship Id="rId4" Type="http://schemas.openxmlformats.org/officeDocument/2006/relationships/hyperlink" Target="mailto:jerome.ducarme@aviq.be" TargetMode="External"/><Relationship Id="rId5" Type="http://schemas.openxmlformats.org/officeDocument/2006/relationships/hyperlink" Target="https://www.aviq.be/handicap/professionnels/index.html%23formation.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ormationsrepere.be/" TargetMode="External"/><Relationship Id="rId2" Type="http://schemas.openxmlformats.org/officeDocument/2006/relationships/hyperlink" Target="mailto:info@formationsrepere.be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LibreOffice/6.3.3.2$Windows_X86_64 LibreOffice_project/a64200df03143b798afd1ec74a12ab50359878ed</Application>
  <Pages>3</Pages>
  <Words>721</Words>
  <Characters>3971</Characters>
  <CharactersWithSpaces>4683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2020-11-26T08:16:00Z</dcterms:created>
  <dc:creator>Anne Discart</dc:creator>
  <dc:description/>
  <dc:language>fr-BE</dc:language>
  <cp:lastModifiedBy/>
  <cp:lastPrinted>2020-06-10T21:01:00Z</cp:lastPrinted>
  <dcterms:modified xsi:type="dcterms:W3CDTF">2021-09-11T18:08:12Z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