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right="-171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-116205</wp:posOffset>
                </wp:positionH>
                <wp:positionV relativeFrom="paragraph">
                  <wp:posOffset>-225425</wp:posOffset>
                </wp:positionV>
                <wp:extent cx="1021715" cy="946785"/>
                <wp:effectExtent l="0" t="0" r="8890" b="6985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60" cy="94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39470" cy="839470"/>
                                  <wp:effectExtent l="0" t="0" r="0" b="0"/>
                                  <wp:docPr id="3" name="Imag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f" style="position:absolute;margin-left:-9.15pt;margin-top:-17.75pt;width:80.35pt;height:74.45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39470" cy="839470"/>
                            <wp:effectExtent l="0" t="0" r="0" b="0"/>
                            <wp:docPr id="4" name="Imag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839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15868"/>
          <w:sz w:val="40"/>
          <w:szCs w:val="40"/>
        </w:rPr>
        <w:t>AGENDA Formations Repère 2</w:t>
      </w:r>
      <w:r>
        <w:rPr>
          <w:color w:val="215868"/>
          <w:sz w:val="40"/>
          <w:szCs w:val="40"/>
          <w:vertAlign w:val="superscript"/>
        </w:rPr>
        <w:t>ième</w:t>
      </w:r>
      <w:r>
        <w:rPr>
          <w:color w:val="215868"/>
          <w:sz w:val="40"/>
          <w:szCs w:val="40"/>
        </w:rPr>
        <w:t xml:space="preserve"> semestre 2021</w:t>
        <w:br/>
      </w:r>
      <w:r>
        <w:rPr>
          <w:color w:val="215868"/>
          <w:sz w:val="36"/>
          <w:szCs w:val="36"/>
        </w:rPr>
        <w:t xml:space="preserve">Infos et inscriptions : </w:t>
      </w:r>
      <w:hyperlink r:id="rId3">
        <w:r>
          <w:rPr>
            <w:rStyle w:val="LienInternet"/>
            <w:sz w:val="36"/>
            <w:szCs w:val="36"/>
          </w:rPr>
          <w:t>www.formationsrepere.be</w:t>
        </w:r>
      </w:hyperlink>
    </w:p>
    <w:tbl>
      <w:tblPr>
        <w:tblStyle w:val="Grilledutableau"/>
        <w:tblW w:w="97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8647"/>
      </w:tblGrid>
      <w:tr>
        <w:trPr>
          <w:trHeight w:val="20" w:hRule="atLeast"/>
        </w:trPr>
        <w:tc>
          <w:tcPr>
            <w:tcW w:w="9775" w:type="dxa"/>
            <w:gridSpan w:val="2"/>
            <w:tcBorders/>
            <w:shd w:color="auto" w:fill="215868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/>
            </w:pPr>
            <w:r>
              <w:rPr>
                <w:b/>
                <w:color w:val="FFFFFF" w:themeColor="background1"/>
              </w:rPr>
              <w:t>Septembre 2021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07/09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Troubles de la déglutition : Aides et adaptations pour des prises alimentaires sécurisées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09/09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Pas à pas pour éviter les chutes chez les aînés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16/09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 xml:space="preserve">Les familles dites « difficiles » .Interagir pour gérer les conflits et l’agressivité 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 et 21//09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 xml:space="preserve">Favoriser la bientraitance des personnes en situation de handicap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22/09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 xml:space="preserve">L’Hygiène de la cuisine à l’assiette au quotidien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23/09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Sensibilisation à une politique de non contention en institution</w:t>
            </w:r>
            <w:r>
              <w:rPr>
                <w:color w:val="FB4A5A"/>
                <w:sz w:val="24"/>
              </w:rPr>
              <w:t>(*)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28/09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 xml:space="preserve">Éveil sensoriel par le toucher relationnel:Techniques de massages minutes </w:t>
            </w:r>
          </w:p>
        </w:tc>
      </w:tr>
      <w:tr>
        <w:trPr>
          <w:trHeight w:val="20" w:hRule="atLeast"/>
        </w:trPr>
        <w:tc>
          <w:tcPr>
            <w:tcW w:w="9775" w:type="dxa"/>
            <w:gridSpan w:val="2"/>
            <w:tcBorders/>
            <w:shd w:color="auto" w:fill="215868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/>
            </w:pPr>
            <w:r>
              <w:rPr>
                <w:b/>
                <w:color w:val="FFFFFF" w:themeColor="background1"/>
              </w:rPr>
              <w:t>Octobre 2021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08/10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>Troubles du langage  chez la personne cérébrolésée : boîte à outils pour une communication facilitée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12/10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>
                <w:color w:val="FE7F00"/>
              </w:rPr>
              <w:t xml:space="preserve">A Liège </w:t>
            </w:r>
            <w:r>
              <w:rPr/>
              <w:t xml:space="preserve"> : Éveil sensoriel par le toucher relationnel:Techniques de massages minutes 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04 - 11 et 18/10 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Détecter les risques de maltraitance et favoriser la bientraitance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envers les personnes en situation de handicap </w:t>
            </w:r>
          </w:p>
        </w:tc>
      </w:tr>
      <w:tr>
        <w:trPr>
          <w:trHeight w:val="20" w:hRule="atLeast"/>
        </w:trPr>
        <w:tc>
          <w:tcPr>
            <w:tcW w:w="9775" w:type="dxa"/>
            <w:gridSpan w:val="2"/>
            <w:tcBorders/>
            <w:shd w:color="auto" w:fill="215868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/>
            </w:pPr>
            <w:r>
              <w:rPr>
                <w:b/>
                <w:color w:val="FFFFFF" w:themeColor="background1"/>
              </w:rPr>
              <w:t>Novembre 2021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09/11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Éveil sensoriel par le toucher relationnel:Techniques de massages minutes 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15/11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color w:val="000000"/>
              </w:rPr>
            </w:pPr>
            <w:r>
              <w:rPr>
                <w:color w:val="FE7F00"/>
              </w:rPr>
              <w:t>A Tournai</w:t>
            </w:r>
            <w:r>
              <w:rPr>
                <w:color w:val="000000"/>
              </w:rPr>
              <w:t> :Éveil sensoriel par le toucher relationnel:Techniques de massages minutes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16 -23 et 30/11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Détecter les risques de maltraitance et favoriser la bientraitance envers les personnes en situation de handicap 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18/11</w:t>
            </w:r>
          </w:p>
        </w:tc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L’Hygiène de la cuisine à l’assiette au quotidien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19/</w:t>
            </w:r>
            <w:r>
              <w:rPr>
                <w:b/>
                <w:bCs/>
              </w:rPr>
              <w:t>11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>
                <w:b/>
                <w:bCs/>
                <w:i/>
                <w:iCs/>
              </w:rPr>
              <w:t>Troubles du comportements et politique de non contention en institution</w:t>
            </w:r>
            <w:r>
              <w:rPr>
                <w:b/>
                <w:bCs/>
                <w:i/>
                <w:iCs/>
                <w:color w:val="FB4A5A"/>
                <w:sz w:val="24"/>
              </w:rPr>
              <w:t>(*)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25/11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 xml:space="preserve">Résidents et soignants et la gestion de deuils multiples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fr-BE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BE" w:eastAsia="en-US" w:bidi="ar-SA"/>
              </w:rPr>
              <w:t>29/11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Troubles de la déglutition : Aides et adaptations pour des prises alimentaires sécurisées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  <w:i/>
                <w:i/>
                <w:iCs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775" w:type="dxa"/>
            <w:gridSpan w:val="2"/>
            <w:tcBorders/>
            <w:shd w:color="auto" w:fill="215868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Décembre 2020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02/12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>
                <w:b/>
                <w:bCs/>
              </w:rPr>
              <w:t>Inspections globales : comment s’y préparer ?</w:t>
            </w:r>
            <w:r>
              <w:rPr/>
              <w:t xml:space="preserve"> </w:t>
            </w:r>
            <w:r>
              <w:rPr>
                <w:color w:val="FB4A5A"/>
                <w:sz w:val="24"/>
              </w:rPr>
              <w:t xml:space="preserve">(*) </w:t>
            </w:r>
            <w:r>
              <w:rPr>
                <w:b/>
                <w:bCs/>
                <w:i/>
                <w:iCs/>
                <w:color w:val="FF0000"/>
                <w:sz w:val="24"/>
              </w:rPr>
              <w:t xml:space="preserve">NEW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07/12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/>
              <w:t xml:space="preserve">Éveil sensoriel par le toucher relationnel:Techniques de massages minutes 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BE" w:eastAsia="en-US" w:bidi="ar-SA"/>
              </w:rPr>
              <w:t>0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fr-BE" w:eastAsia="en-US" w:bidi="ar-SA"/>
              </w:rPr>
              <w:t xml:space="preserve">9/12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>
                <w:b/>
                <w:bCs/>
                <w:i/>
                <w:iCs/>
              </w:rPr>
              <w:t>Troubles du langage chez la personne cérébrolésée : boîte à outils pour une communication facilitée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fr-BE" w:eastAsia="en-US" w:bidi="ar-SA"/>
              </w:rPr>
              <w:t>14</w:t>
            </w:r>
            <w:r>
              <w:rPr/>
              <w:t xml:space="preserve">/12 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/>
            </w:pPr>
            <w:r>
              <w:rPr>
                <w:b/>
                <w:bCs/>
              </w:rPr>
              <w:t xml:space="preserve">Introduction aux profils de personnalités MBTI :Travailler en équipes et développer les compétences de mon personnel </w:t>
            </w:r>
            <w:r>
              <w:rPr>
                <w:color w:val="FB4A5A"/>
                <w:sz w:val="24"/>
              </w:rPr>
              <w:t>(*)</w:t>
            </w:r>
            <w:r>
              <w:rPr/>
              <w:t xml:space="preserve"> </w:t>
            </w:r>
            <w:r>
              <w:rPr>
                <w:b/>
                <w:bCs/>
                <w:i/>
                <w:iCs/>
                <w:color w:val="FF0000"/>
              </w:rPr>
              <w:t xml:space="preserve">NEW </w:t>
            </w:r>
          </w:p>
        </w:tc>
      </w:tr>
      <w:tr>
        <w:trPr>
          <w:trHeight w:val="454" w:hRule="atLeast"/>
        </w:trPr>
        <w:tc>
          <w:tcPr>
            <w:tcW w:w="11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  <w:t>16/12</w:t>
            </w:r>
          </w:p>
        </w:tc>
        <w:tc>
          <w:tcPr>
            <w:tcW w:w="86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Éveil sensoriel par le toucher relationnel:Techniques de massages minutes </w:t>
            </w:r>
          </w:p>
        </w:tc>
      </w:tr>
    </w:tbl>
    <w:p>
      <w:pPr>
        <w:pStyle w:val="Normal"/>
        <w:spacing w:lineRule="auto" w:line="216"/>
        <w:ind w:right="113" w:hanging="0"/>
        <w:rPr>
          <w:color w:val="FB4A5A"/>
          <w:sz w:val="12"/>
          <w:szCs w:val="12"/>
        </w:rPr>
      </w:pPr>
      <w:r>
        <w:rPr>
          <w:color w:val="FB4A5A"/>
          <w:sz w:val="12"/>
          <w:szCs w:val="12"/>
        </w:rPr>
      </w:r>
    </w:p>
    <w:p>
      <w:pPr>
        <w:pStyle w:val="Normal"/>
        <w:spacing w:lineRule="auto" w:line="216"/>
        <w:ind w:right="113" w:hanging="0"/>
        <w:rPr/>
      </w:pPr>
      <w:r>
        <w:rPr>
          <w:color w:val="FB4A5A"/>
          <w:sz w:val="20"/>
          <w:szCs w:val="20"/>
        </w:rPr>
        <w:t>(*) Formation reconnue pour les directeurs de maison de repos Bruxelles, Wallonie et pour les cadres de santé par le SPF santé pour le financement E2.</w:t>
        <w:br/>
      </w:r>
      <w:r>
        <w:rPr>
          <w:i/>
          <w:sz w:val="20"/>
          <w:szCs w:val="20"/>
        </w:rPr>
        <w:t>Les formations Repère permettent aux gestionnaires d’établissements d’offrir une formation continue à leur personnel afin de satisfaire aux exigences :</w:t>
      </w:r>
    </w:p>
    <w:tbl>
      <w:tblPr>
        <w:tblStyle w:val="Grilledutableau"/>
        <w:tblW w:w="75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2703"/>
        <w:gridCol w:w="2544"/>
      </w:tblGrid>
      <w:tr>
        <w:trPr/>
        <w:tc>
          <w:tcPr>
            <w:tcW w:w="226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71" w:right="175" w:hanging="0"/>
              <w:jc w:val="right"/>
              <w:rPr/>
            </w:pPr>
            <w:r>
              <w:rPr/>
              <w:drawing>
                <wp:inline distT="0" distB="0" distL="0" distR="0">
                  <wp:extent cx="458470" cy="414655"/>
                  <wp:effectExtent l="0" t="0" r="0" b="0"/>
                  <wp:docPr id="5" name="Image 26" descr="E:\Profil\Mes documents\1 ANNE\SMART CLIENTS\3 Actifs\Formations Repère\6_CONTENUS\LOGOS Partenaires\IRISCARE\Iriscare_RGB-33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6" descr="E:\Profil\Mes documents\1 ANNE\SMART CLIENTS\3 Actifs\Formations Repère\6_CONTENUS\LOGOS Partenaires\IRISCARE\Iriscare_RGB-33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75" w:hanging="0"/>
              <w:jc w:val="center"/>
              <w:rPr/>
            </w:pPr>
            <w:r>
              <w:rPr/>
              <w:drawing>
                <wp:inline distT="0" distB="0" distL="0" distR="0">
                  <wp:extent cx="1151890" cy="436880"/>
                  <wp:effectExtent l="0" t="0" r="0" b="0"/>
                  <wp:docPr id="6" name="Image 27" descr="E:\Profil\Mes documents\1 ANNE\SMART CLIENTS\3 Actifs\Formations Repère\6_CONTENUS\LOGOS Partenaires\SPF Santé\spf-sant-publique-covid-19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7" descr="E:\Profil\Mes documents\1 ANNE\SMART CLIENTS\3 Actifs\Formations Repère\6_CONTENUS\LOGOS Partenaires\SPF Santé\spf-sant-publique-covid-19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4" w:hanging="0"/>
              <w:rPr/>
            </w:pPr>
            <w:r>
              <w:rPr/>
              <w:drawing>
                <wp:inline distT="0" distB="0" distL="0" distR="0">
                  <wp:extent cx="1066165" cy="454025"/>
                  <wp:effectExtent l="0" t="0" r="0" b="0"/>
                  <wp:docPr id="7" name="Image 28" descr="E:\Profil\Mes documents\1 ANNE\SMART CLIENTS\3 Actifs\Formations Repère\6_CONTENUS\LOGOS Partenaires\AVIQ\logo AVI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8" descr="E:\Profil\Mes documents\1 ANNE\SMART CLIENTS\3 Actifs\Formations Repère\6_CONTENUS\LOGOS Partenaires\AVIQ\logo AVI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16" w:before="0" w:after="160"/>
        <w:ind w:right="113" w:hanging="0"/>
        <w:rPr/>
      </w:pPr>
      <w:r>
        <w:rPr/>
        <w:t xml:space="preserve"> </w:t>
      </w:r>
      <w:r>
        <w:rPr/>
        <w:t xml:space="preserve">                   </w:t>
      </w:r>
    </w:p>
    <w:sectPr>
      <w:type w:val="nextPage"/>
      <w:pgSz w:w="11906" w:h="16838"/>
      <w:pgMar w:left="1077" w:right="1077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76e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15ad6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176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./../../../../../../Anne/Desktop/www.formationsrepere.be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LibreOffice/6.3.3.2$Windows_X86_64 LibreOffice_project/a64200df03143b798afd1ec74a12ab50359878ed</Application>
  <Pages>1</Pages>
  <Words>386</Words>
  <Characters>2123</Characters>
  <CharactersWithSpaces>2504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2020-06-10T20:48:00Z</dcterms:created>
  <dc:creator>Anne Discart</dc:creator>
  <dc:description/>
  <dc:language>fr-BE</dc:language>
  <cp:lastModifiedBy/>
  <cp:lastPrinted>2021-09-09T12:23:46Z</cp:lastPrinted>
  <dcterms:modified xsi:type="dcterms:W3CDTF">2021-09-09T13:57:30Z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